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0"/>
          <w:szCs w:val="48"/>
          <w:highlight w:val="none"/>
          <w:lang w:val="en-US" w:eastAsia="zh-CN"/>
        </w:rPr>
      </w:pPr>
      <w:r>
        <w:rPr>
          <w:rFonts w:hint="default" w:ascii="Times New Roman" w:hAnsi="Times New Roman" w:eastAsia="方正小标宋简体" w:cs="Times New Roman"/>
          <w:sz w:val="40"/>
          <w:szCs w:val="48"/>
          <w:highlight w:val="none"/>
        </w:rPr>
        <w:t>云南兰茂星城投资有限公司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Arial" w:eastAsia="方正小标宋简体" w:cs="Arial"/>
          <w:b w:val="0"/>
          <w:bCs w:val="0"/>
          <w:color w:val="FF0000"/>
          <w:spacing w:val="8"/>
          <w:kern w:val="0"/>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关于对县委巡察反馈意见整改进展情况的通报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0"/>
          <w:szCs w:val="48"/>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根据县委统一部署，县委第一巡察组于2025年7月2日至8月10日，对云南兰茂星城投资有限公司党总支开展了巡察。2025年9月9日，县委第一巡察组向公司党总支反馈了巡察意见。巡察意见反馈后，公司党总支高度重视，立即研究部署整改工作。现集中整改期已届满，结合巡察整改进展情况，根据《中国共产党巡视工作条例》有关规定，现将巡察整改情况向社会予以公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县委第一巡察组共反馈了</w:t>
      </w:r>
      <w:r>
        <w:rPr>
          <w:rFonts w:hint="default" w:ascii="Times New Roman" w:hAnsi="Times New Roman" w:eastAsia="仿宋_GB2312" w:cs="Times New Roman"/>
          <w:sz w:val="32"/>
          <w:szCs w:val="40"/>
          <w:highlight w:val="none"/>
          <w:lang w:val="en-US" w:eastAsia="zh-CN"/>
        </w:rPr>
        <w:t>48</w:t>
      </w:r>
      <w:r>
        <w:rPr>
          <w:rFonts w:hint="default" w:ascii="Times New Roman" w:hAnsi="Times New Roman" w:eastAsia="仿宋_GB2312" w:cs="Times New Roman"/>
          <w:sz w:val="32"/>
          <w:szCs w:val="40"/>
          <w:highlight w:val="none"/>
        </w:rPr>
        <w:t>个方面若干问题；公司党总支制定整改措施</w:t>
      </w:r>
      <w:r>
        <w:rPr>
          <w:rFonts w:hint="default" w:ascii="Times New Roman" w:hAnsi="Times New Roman" w:eastAsia="仿宋_GB2312" w:cs="Times New Roman"/>
          <w:sz w:val="32"/>
          <w:szCs w:val="40"/>
          <w:highlight w:val="none"/>
          <w:lang w:val="en-US" w:eastAsia="zh-CN"/>
        </w:rPr>
        <w:t>48</w:t>
      </w:r>
      <w:r>
        <w:rPr>
          <w:rFonts w:hint="default" w:ascii="Times New Roman" w:hAnsi="Times New Roman" w:eastAsia="仿宋_GB2312" w:cs="Times New Roman"/>
          <w:sz w:val="32"/>
          <w:szCs w:val="40"/>
          <w:highlight w:val="none"/>
        </w:rPr>
        <w:t>项；截至整改时限到期已完成整改的问题</w:t>
      </w:r>
      <w:r>
        <w:rPr>
          <w:rFonts w:hint="default" w:ascii="Times New Roman" w:hAnsi="Times New Roman" w:eastAsia="仿宋_GB2312" w:cs="Times New Roman"/>
          <w:sz w:val="32"/>
          <w:szCs w:val="40"/>
          <w:highlight w:val="none"/>
          <w:lang w:val="en-US" w:eastAsia="zh-CN"/>
        </w:rPr>
        <w:t>42</w:t>
      </w:r>
      <w:r>
        <w:rPr>
          <w:rFonts w:hint="default" w:ascii="Times New Roman" w:hAnsi="Times New Roman" w:eastAsia="仿宋_GB2312" w:cs="Times New Roman"/>
          <w:sz w:val="32"/>
          <w:szCs w:val="40"/>
          <w:highlight w:val="none"/>
        </w:rPr>
        <w:t>个，落实整改率</w:t>
      </w:r>
      <w:r>
        <w:rPr>
          <w:rFonts w:hint="default" w:ascii="Times New Roman" w:hAnsi="Times New Roman" w:eastAsia="仿宋_GB2312" w:cs="Times New Roman"/>
          <w:color w:val="000000"/>
          <w:sz w:val="32"/>
          <w:szCs w:val="32"/>
          <w:highlight w:val="none"/>
          <w:lang w:val="en-US" w:eastAsia="zh-CN"/>
        </w:rPr>
        <w:t>87.50</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sz w:val="32"/>
          <w:szCs w:val="40"/>
          <w:highlight w:val="none"/>
        </w:rPr>
        <w:t>；修订和新建制度</w:t>
      </w:r>
      <w:r>
        <w:rPr>
          <w:rFonts w:hint="default" w:ascii="Times New Roman" w:hAnsi="Times New Roman" w:eastAsia="仿宋_GB2312" w:cs="Times New Roman"/>
          <w:color w:val="000000"/>
          <w:sz w:val="32"/>
          <w:szCs w:val="32"/>
          <w:highlight w:val="none"/>
        </w:rPr>
        <w:t>12</w:t>
      </w:r>
      <w:r>
        <w:rPr>
          <w:rFonts w:hint="default" w:ascii="Times New Roman" w:hAnsi="Times New Roman" w:eastAsia="仿宋_GB2312" w:cs="Times New Roman"/>
          <w:sz w:val="32"/>
          <w:szCs w:val="40"/>
          <w:highlight w:val="none"/>
        </w:rPr>
        <w:t>项；另有部分问题因涉及国企改革整体推进，需结合改革方案一并解决完成，计划于下一阶段完成整改。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sz w:val="32"/>
          <w:szCs w:val="40"/>
          <w:highlight w:val="none"/>
        </w:rPr>
      </w:pPr>
      <w:r>
        <w:rPr>
          <w:rFonts w:hint="default" w:ascii="Times New Roman" w:hAnsi="Times New Roman" w:eastAsia="黑体" w:cs="Times New Roman"/>
          <w:sz w:val="32"/>
          <w:szCs w:val="40"/>
          <w:highlight w:val="none"/>
        </w:rPr>
        <w:t>一、组织整改工作情况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一）统一思想认识，增强政治自觉。巡察意见反馈后，公司党总支高度重视，把巡察整改作为首要政治任务，第一时间召开总支委员会（扩大）会议，传达学习巡察反馈意见，要求全体支委成员和各子公司主要负责人深刻认识巡察整改的重要性，切实增强整改的思想自觉和行动自觉。通过深化思想认识，全体干部职工进一步统一了政治站位、凝聚了整改共识，为扎实推进整改工作奠定了坚实的思想基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二）细化整改措施，层层压实责任。一是加强组织领导，成立以党总支书记为组长、副书记为副组长、各子公司负责人为成员的整改工作领导小组，下设办公室统筹协调、督促检查和情况汇总。二是压实整改责任，研究制定整改方案，将反馈问题细化分解，明确整改措施、责任领导、责任部门和整改时限，形成问题清单、任务清单、责任清单。三是强化跟踪问效，建立整改工作台账，实行对账销号制度，定期召开整改工作推进会，及时研究解决整改过程中遇到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三）强化建章立制，务求工作实效。一是组织召开巡察整改专题组织生活会，领导班子及主要负责人围绕巡察反馈问题，深入开展批评与自我批评，深刻剖析问题根源。二是针对内控制度不健全问题，全面梳理集团本部原有制度，正式印发《云南兰茂星城投资有限公司固定资产管理办法》《云南兰茂星城投资有限公司投资管理制度》《云南兰茂星城投资有限公司融资管理制度》《云南兰茂星城投资有限公司股权投资管理办法》等若干项内控制度。三是委托专业律师事务所、会计师事务所作为第三方服务团队进场开展法务尽调和清产核资工作，为股权清退、资产划转、清算注销等工作提供专业支撑，推动整改工作取得实质性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黑体" w:cs="Times New Roman"/>
          <w:sz w:val="32"/>
          <w:szCs w:val="40"/>
          <w:highlight w:val="none"/>
        </w:rPr>
        <w:t>二、问题整改落实情况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（一）关于巡察反馈贯彻落实国企改革决策部署不到位方面的问题。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1.关于巡察反馈政治意识不够强、理论学习有差距问题的整改情况。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（1）针对巡察反馈“第一议题”执行不实</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以党总支名义印发关于进一步规范党支部“第一议题”学习及相关会议记录的通知，督促各党支部对“第一议题”学习及支部会议记录进行进一步规范，明确各级党组织书记作为第一责任人，带头领学、督学，将“第一议题”学习纳入年度学习计划严格执行。</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highlight w:val="none"/>
        </w:rPr>
      </w:pPr>
      <w:r>
        <w:rPr>
          <w:rFonts w:hint="eastAsia" w:ascii="Times New Roman" w:hAnsi="Times New Roman" w:eastAsia="仿宋_GB2312" w:cs="Times New Roman"/>
          <w:sz w:val="32"/>
          <w:szCs w:val="40"/>
          <w:highlight w:val="none"/>
          <w:lang w:eastAsia="zh-CN"/>
        </w:rPr>
        <w:t>（</w:t>
      </w:r>
      <w:r>
        <w:rPr>
          <w:rFonts w:hint="eastAsia" w:ascii="Times New Roman" w:hAnsi="Times New Roman" w:eastAsia="仿宋_GB2312" w:cs="Times New Roman"/>
          <w:sz w:val="32"/>
          <w:szCs w:val="40"/>
          <w:highlight w:val="none"/>
          <w:lang w:val="en-US" w:eastAsia="zh-CN"/>
        </w:rPr>
        <w:t>2</w:t>
      </w:r>
      <w:r>
        <w:rPr>
          <w:rFonts w:hint="eastAsia" w:ascii="Times New Roman" w:hAnsi="Times New Roman" w:eastAsia="仿宋_GB2312" w:cs="Times New Roman"/>
          <w:sz w:val="32"/>
          <w:szCs w:val="40"/>
          <w:highlight w:val="none"/>
          <w:lang w:eastAsia="zh-CN"/>
        </w:rPr>
        <w:t>）</w:t>
      </w:r>
      <w:r>
        <w:rPr>
          <w:rFonts w:hint="default" w:ascii="Times New Roman" w:hAnsi="Times New Roman" w:eastAsia="仿宋_GB2312" w:cs="Times New Roman"/>
          <w:sz w:val="32"/>
          <w:szCs w:val="40"/>
          <w:highlight w:val="none"/>
        </w:rPr>
        <w:t>针对巡察反馈学用结合贯通不够</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党总支及各党支部立足各责任区公司实际，每月确定“理论+业务”融合学习主题，依托开展主题党日活动的形式，组织全体党员干部结合理论学习和工作实际进行交流研讨。各党支部及各责任区公司充分利用支委会、董事会、总经理办公会、职工会等会议开展理论学习，将党的创新理论、政策法规、制度规范、国企改革等内容纳入学习范围。</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eastAsia" w:ascii="Times New Roman" w:hAnsi="Times New Roman" w:eastAsia="仿宋_GB2312" w:cs="Times New Roman"/>
          <w:sz w:val="32"/>
          <w:szCs w:val="40"/>
          <w:highlight w:val="none"/>
          <w:lang w:eastAsia="zh-CN"/>
        </w:rPr>
        <w:t>（</w:t>
      </w:r>
      <w:r>
        <w:rPr>
          <w:rFonts w:hint="eastAsia" w:ascii="Times New Roman" w:hAnsi="Times New Roman" w:eastAsia="仿宋_GB2312" w:cs="Times New Roman"/>
          <w:sz w:val="32"/>
          <w:szCs w:val="40"/>
          <w:highlight w:val="none"/>
          <w:lang w:val="en-US" w:eastAsia="zh-CN"/>
        </w:rPr>
        <w:t>3</w:t>
      </w:r>
      <w:r>
        <w:rPr>
          <w:rFonts w:hint="eastAsia" w:ascii="Times New Roman" w:hAnsi="Times New Roman" w:eastAsia="仿宋_GB2312" w:cs="Times New Roman"/>
          <w:sz w:val="32"/>
          <w:szCs w:val="40"/>
          <w:highlight w:val="none"/>
          <w:lang w:eastAsia="zh-CN"/>
        </w:rPr>
        <w:t>）</w:t>
      </w:r>
      <w:r>
        <w:rPr>
          <w:rFonts w:hint="default" w:ascii="Times New Roman" w:hAnsi="Times New Roman" w:eastAsia="仿宋_GB2312" w:cs="Times New Roman"/>
          <w:sz w:val="32"/>
          <w:szCs w:val="40"/>
          <w:highlight w:val="none"/>
        </w:rPr>
        <w:t>针对巡察反馈意识形态重视不足</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研究制定意识形态工作责任制实施方案和工作清单，采取与业务工作同部署、同落实、同检查、同考核的方式全面推进意识形态工作。强化阵地建设，充分发挥公司公众号、商业区宣传屏等宣传媒介的作用，做好主流意识形态和核心价值观的宣导工作。公司组织开展网络与新媒体平台信息内容自检自查，将意识形态工作纳入年度培训计划，加强谈心谈话覆盖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2.关于巡察反馈担当作为不积极、推进改革不到位问题的整改情况。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（1）针对巡察反馈落实国企“两非”剥离及“两资”清退</w:t>
      </w:r>
      <w:r>
        <w:rPr>
          <w:rFonts w:hint="default" w:ascii="Times New Roman" w:hAnsi="Times New Roman" w:eastAsia="仿宋_GB2312" w:cs="Times New Roman"/>
          <w:sz w:val="32"/>
          <w:szCs w:val="40"/>
          <w:highlight w:val="none"/>
          <w:lang w:val="en-US" w:eastAsia="zh-CN"/>
        </w:rPr>
        <w:t>等改革</w:t>
      </w:r>
      <w:r>
        <w:rPr>
          <w:rFonts w:hint="default" w:ascii="Times New Roman" w:hAnsi="Times New Roman" w:eastAsia="仿宋_GB2312" w:cs="Times New Roman"/>
          <w:sz w:val="32"/>
          <w:szCs w:val="40"/>
          <w:highlight w:val="none"/>
        </w:rPr>
        <w:t>任务有差距</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w:t>
      </w:r>
      <w:r>
        <w:rPr>
          <w:rFonts w:hint="default" w:ascii="Times New Roman" w:hAnsi="Times New Roman" w:eastAsia="黑体" w:cs="Times New Roman"/>
          <w:b w:val="0"/>
          <w:bCs/>
          <w:color w:val="auto"/>
          <w:spacing w:val="0"/>
          <w:sz w:val="32"/>
          <w:szCs w:val="32"/>
          <w:highlight w:val="none"/>
          <w:lang w:val="en-US" w:eastAsia="zh-CN"/>
        </w:rPr>
        <w:t>正在</w:t>
      </w:r>
      <w:r>
        <w:rPr>
          <w:rFonts w:hint="default" w:ascii="Times New Roman" w:hAnsi="Times New Roman" w:eastAsia="黑体" w:cs="Times New Roman"/>
          <w:b w:val="0"/>
          <w:bCs/>
          <w:color w:val="auto"/>
          <w:spacing w:val="0"/>
          <w:sz w:val="32"/>
          <w:szCs w:val="32"/>
          <w:highlight w:val="none"/>
          <w:lang w:eastAsia="zh-CN"/>
        </w:rPr>
        <w:t>整改</w:t>
      </w:r>
      <w:r>
        <w:rPr>
          <w:rFonts w:hint="default" w:ascii="Times New Roman" w:hAnsi="Times New Roman" w:eastAsia="仿宋_GB2312" w:cs="Times New Roman"/>
          <w:b/>
          <w:bCs w:val="0"/>
          <w:color w:val="auto"/>
          <w:spacing w:val="0"/>
          <w:sz w:val="32"/>
          <w:szCs w:val="32"/>
          <w:highlight w:val="none"/>
          <w:lang w:eastAsia="zh-CN"/>
        </w:rPr>
        <w:t>】</w:t>
      </w:r>
    </w:p>
    <w:p>
      <w:pPr>
        <w:pStyle w:val="5"/>
        <w:keepNext w:val="0"/>
        <w:keepLines w:val="0"/>
        <w:pageBreakBefore w:val="0"/>
        <w:kinsoku/>
        <w:wordWrap/>
        <w:overflowPunct/>
        <w:topLinePunct w:val="0"/>
        <w:autoSpaceDE/>
        <w:autoSpaceDN/>
        <w:bidi w:val="0"/>
        <w:adjustRightInd/>
        <w:snapToGrid/>
        <w:spacing w:after="0" w:line="560" w:lineRule="exact"/>
        <w:ind w:left="0" w:leftChars="0" w:firstLine="643" w:firstLineChars="200"/>
        <w:jc w:val="both"/>
        <w:rPr>
          <w:rFonts w:hint="default" w:ascii="Times New Roman" w:hAnsi="Times New Roman" w:eastAsia="仿宋_GB2312" w:cs="Times New Roman"/>
          <w:kern w:val="2"/>
          <w:sz w:val="32"/>
          <w:szCs w:val="40"/>
          <w:highlight w:val="none"/>
          <w:lang w:val="en-US" w:eastAsia="zh-CN" w:bidi="ar-SA"/>
        </w:rPr>
      </w:pPr>
      <w:r>
        <w:rPr>
          <w:rFonts w:hint="default" w:ascii="Times New Roman" w:hAnsi="Times New Roman" w:eastAsia="仿宋_GB2312" w:cs="Times New Roman"/>
          <w:b/>
          <w:bCs/>
          <w:kern w:val="2"/>
          <w:sz w:val="32"/>
          <w:szCs w:val="40"/>
          <w:highlight w:val="none"/>
          <w:lang w:val="en-US" w:eastAsia="zh-CN" w:bidi="ar-SA"/>
        </w:rPr>
        <w:t>未完成整改原因：</w:t>
      </w:r>
      <w:r>
        <w:rPr>
          <w:rFonts w:hint="default" w:ascii="Times New Roman" w:hAnsi="Times New Roman" w:eastAsia="仿宋_GB2312" w:cs="Times New Roman"/>
          <w:kern w:val="2"/>
          <w:sz w:val="32"/>
          <w:szCs w:val="40"/>
          <w:highlight w:val="none"/>
          <w:lang w:val="en-US" w:eastAsia="zh-CN" w:bidi="ar-SA"/>
        </w:rPr>
        <w:t>股权无偿划转审计报告即将出具，其余材料已报嵩明县国有资产监督管理委员会审核，完备后即时启动划转，同步推进其他子公司股权划转；清产核资及改革实施方案正高效编制，论证评审有序推进，架构搭建完成即转入实质化运营；嵩明浩宇投资有限公司历史遗留问题将在清产核资完成后全面梳理，主动对接行政主管部门逐项推动解决；多渠道拓宽资金来源，持续加强应收款项回收，全力推进债务化解；加快项目资金梳理，分批退回结余资金，健全长效管理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center"/>
        <w:rPr>
          <w:rFonts w:hint="default" w:ascii="Times New Roman" w:hAnsi="Times New Roman" w:eastAsia="仿宋_GB2312" w:cs="Times New Roman"/>
          <w:b w:val="0"/>
          <w:bCs w:val="0"/>
          <w:kern w:val="2"/>
          <w:sz w:val="32"/>
          <w:szCs w:val="40"/>
          <w:highlight w:val="none"/>
          <w:lang w:val="en-US" w:eastAsia="zh-CN" w:bidi="ar-SA"/>
        </w:rPr>
      </w:pPr>
      <w:r>
        <w:rPr>
          <w:rFonts w:hint="default" w:ascii="Times New Roman" w:hAnsi="Times New Roman" w:eastAsia="仿宋_GB2312" w:cs="Times New Roman"/>
          <w:b w:val="0"/>
          <w:bCs w:val="0"/>
          <w:kern w:val="2"/>
          <w:sz w:val="32"/>
          <w:szCs w:val="40"/>
          <w:highlight w:val="none"/>
          <w:lang w:val="en-US" w:eastAsia="zh-CN" w:bidi="ar-SA"/>
        </w:rPr>
        <w:t>公司第一时间组建工作专班，专题研究部署整改工作，委托专业律所对相关企业股权和资产划转方案进行重新梳理和优化完善。围绕涉及企业分类推进清产核资和法务尽调，对相关企业多次组织召开沟通会议、股东会，推动相关方就注销清算事宜深入协商。相关企业已依法推进诉讼程序，债权转让和资产划转已完成协议签订和移交，股权划转已按程序报送请示。责任领导：李陈，责任部门：云南兰茂星城投资有限公司经营管理中心、嵩明牛栏江投资有限公司、云南嵩明现代农业产业发展投资有限公司，整改时限：2026年12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（2）针对巡察反馈落实国企纵向改革不到位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w:t>
      </w:r>
      <w:r>
        <w:rPr>
          <w:rFonts w:hint="default" w:ascii="Times New Roman" w:hAnsi="Times New Roman" w:eastAsia="黑体" w:cs="Times New Roman"/>
          <w:b w:val="0"/>
          <w:bCs/>
          <w:color w:val="auto"/>
          <w:spacing w:val="0"/>
          <w:sz w:val="32"/>
          <w:szCs w:val="32"/>
          <w:highlight w:val="none"/>
          <w:lang w:val="en-US" w:eastAsia="zh-CN"/>
        </w:rPr>
        <w:t>正在</w:t>
      </w:r>
      <w:r>
        <w:rPr>
          <w:rFonts w:hint="default" w:ascii="Times New Roman" w:hAnsi="Times New Roman" w:eastAsia="黑体" w:cs="Times New Roman"/>
          <w:b w:val="0"/>
          <w:bCs/>
          <w:color w:val="auto"/>
          <w:spacing w:val="0"/>
          <w:sz w:val="32"/>
          <w:szCs w:val="32"/>
          <w:highlight w:val="none"/>
          <w:lang w:eastAsia="zh-CN"/>
        </w:rPr>
        <w:t>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color w:val="auto"/>
          <w:spacing w:val="0"/>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eastAsia="zh-CN"/>
        </w:rPr>
        <w:t>未完成整改的原因：</w:t>
      </w:r>
      <w:r>
        <w:rPr>
          <w:rFonts w:hint="default" w:ascii="Times New Roman" w:hAnsi="Times New Roman" w:eastAsia="仿宋_GB2312" w:cs="Times New Roman"/>
          <w:b w:val="0"/>
          <w:bCs/>
          <w:color w:val="auto"/>
          <w:spacing w:val="0"/>
          <w:sz w:val="32"/>
          <w:szCs w:val="32"/>
          <w:highlight w:val="none"/>
          <w:lang w:eastAsia="zh-CN"/>
        </w:rPr>
        <w:t>第三方服务机构清产核资及改革实施方案尚在推进中，正在抓紧完成方案设计并推进论证评审工作，稳步推进“1+4+N”架构搭建并进入实质化运营；浩宇公司历史遗留问题较为复杂，需在清产核资完成后全面梳理问题清单，主动对接相关行政主管部门逐项推动解决，最终实现涉及企业的注销或合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center"/>
        <w:rPr>
          <w:rFonts w:hint="default" w:ascii="Times New Roman" w:hAnsi="Times New Roman" w:eastAsia="仿宋_GB2312" w:cs="Times New Roman"/>
          <w:b w:val="0"/>
          <w:bCs w:val="0"/>
          <w:kern w:val="2"/>
          <w:sz w:val="32"/>
          <w:szCs w:val="40"/>
          <w:highlight w:val="none"/>
          <w:lang w:val="en-US" w:eastAsia="zh-CN" w:bidi="ar-SA"/>
        </w:rPr>
      </w:pPr>
      <w:r>
        <w:rPr>
          <w:rFonts w:hint="default" w:ascii="Times New Roman" w:hAnsi="Times New Roman" w:eastAsia="仿宋_GB2312" w:cs="Times New Roman"/>
          <w:b w:val="0"/>
          <w:bCs w:val="0"/>
          <w:sz w:val="32"/>
          <w:szCs w:val="40"/>
          <w:highlight w:val="none"/>
        </w:rPr>
        <w:t>公司按照县国资委统一安排，及时选聘第三方服务团队进场开展法务尽调和清产核资工作，截至目前已完成所有全资控股企业法务尽调，并形成初步改革实施方案。围绕“1+4+N”改革架构，持续优化企业组织体系和管理架构，平台公司架构已基本搭建完成。相关人员已按职责分工履职到位。</w:t>
      </w:r>
      <w:r>
        <w:rPr>
          <w:rFonts w:hint="default" w:ascii="Times New Roman" w:hAnsi="Times New Roman" w:eastAsia="仿宋_GB2312" w:cs="Times New Roman"/>
          <w:b w:val="0"/>
          <w:bCs w:val="0"/>
          <w:kern w:val="2"/>
          <w:sz w:val="32"/>
          <w:szCs w:val="40"/>
          <w:highlight w:val="none"/>
          <w:lang w:val="en-US" w:eastAsia="zh-CN" w:bidi="ar-SA"/>
        </w:rPr>
        <w:t>责任领导：李陈，责任部门：云南兰茂星城投资有限公司投资管理中心、嵩明浩宇投资有限公司，整改时限：2026年12月31日。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（3）针对巡察反馈推进国企横向改革有差距</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w:t>
      </w:r>
      <w:r>
        <w:rPr>
          <w:rFonts w:hint="default" w:ascii="Times New Roman" w:hAnsi="Times New Roman" w:eastAsia="黑体" w:cs="Times New Roman"/>
          <w:b w:val="0"/>
          <w:bCs/>
          <w:color w:val="auto"/>
          <w:spacing w:val="0"/>
          <w:sz w:val="32"/>
          <w:szCs w:val="32"/>
          <w:highlight w:val="none"/>
          <w:lang w:val="en-US" w:eastAsia="zh-CN"/>
        </w:rPr>
        <w:t>正在</w:t>
      </w:r>
      <w:r>
        <w:rPr>
          <w:rFonts w:hint="default" w:ascii="Times New Roman" w:hAnsi="Times New Roman" w:eastAsia="黑体" w:cs="Times New Roman"/>
          <w:b w:val="0"/>
          <w:bCs/>
          <w:color w:val="auto"/>
          <w:spacing w:val="0"/>
          <w:sz w:val="32"/>
          <w:szCs w:val="32"/>
          <w:highlight w:val="none"/>
          <w:lang w:eastAsia="zh-CN"/>
        </w:rPr>
        <w:t>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eastAsia="zh-CN"/>
        </w:rPr>
        <w:t>未完成整改的原因：</w:t>
      </w:r>
      <w:r>
        <w:rPr>
          <w:rFonts w:hint="default" w:ascii="Times New Roman" w:hAnsi="Times New Roman" w:eastAsia="仿宋_GB2312" w:cs="Times New Roman"/>
          <w:b w:val="0"/>
          <w:bCs/>
          <w:color w:val="auto"/>
          <w:spacing w:val="0"/>
          <w:sz w:val="32"/>
          <w:szCs w:val="32"/>
          <w:highlight w:val="none"/>
          <w:lang w:val="en-US" w:eastAsia="zh-CN"/>
        </w:rPr>
        <w:t>云南</w:t>
      </w:r>
      <w:r>
        <w:rPr>
          <w:rFonts w:hint="default" w:ascii="Times New Roman" w:hAnsi="Times New Roman" w:eastAsia="仿宋_GB2312" w:cs="Times New Roman"/>
          <w:b w:val="0"/>
          <w:bCs/>
          <w:color w:val="auto"/>
          <w:spacing w:val="0"/>
          <w:sz w:val="32"/>
          <w:szCs w:val="32"/>
          <w:highlight w:val="none"/>
          <w:lang w:eastAsia="zh-CN"/>
        </w:rPr>
        <w:t>兰茂星城</w:t>
      </w:r>
      <w:r>
        <w:rPr>
          <w:rFonts w:hint="default" w:ascii="Times New Roman" w:hAnsi="Times New Roman" w:eastAsia="仿宋_GB2312" w:cs="Times New Roman"/>
          <w:b w:val="0"/>
          <w:bCs/>
          <w:color w:val="auto"/>
          <w:spacing w:val="0"/>
          <w:sz w:val="32"/>
          <w:szCs w:val="32"/>
          <w:highlight w:val="none"/>
          <w:lang w:val="en-US" w:eastAsia="zh-CN"/>
        </w:rPr>
        <w:t>投资有限公司</w:t>
      </w:r>
      <w:r>
        <w:rPr>
          <w:rFonts w:hint="default" w:ascii="Times New Roman" w:hAnsi="Times New Roman" w:eastAsia="仿宋_GB2312" w:cs="Times New Roman"/>
          <w:b w:val="0"/>
          <w:bCs/>
          <w:color w:val="auto"/>
          <w:spacing w:val="0"/>
          <w:sz w:val="32"/>
          <w:szCs w:val="32"/>
          <w:highlight w:val="none"/>
          <w:lang w:eastAsia="zh-CN"/>
        </w:rPr>
        <w:t>历史代建业务正在逐步完成收尾，其他相关业务板块正在理顺法律关系，将根据国企改革方案划转至对应业务公司；</w:t>
      </w:r>
      <w:r>
        <w:rPr>
          <w:rFonts w:hint="default" w:ascii="Times New Roman" w:hAnsi="Times New Roman" w:eastAsia="仿宋_GB2312" w:cs="Times New Roman"/>
          <w:b w:val="0"/>
          <w:bCs w:val="0"/>
          <w:kern w:val="2"/>
          <w:sz w:val="32"/>
          <w:szCs w:val="40"/>
          <w:highlight w:val="none"/>
          <w:lang w:val="en-US" w:eastAsia="zh-CN" w:bidi="ar-SA"/>
        </w:rPr>
        <w:t>云南嵩明现代农业产业发展投资有限公司</w:t>
      </w:r>
      <w:r>
        <w:rPr>
          <w:rFonts w:hint="default" w:ascii="Times New Roman" w:hAnsi="Times New Roman" w:eastAsia="仿宋_GB2312" w:cs="Times New Roman"/>
          <w:b w:val="0"/>
          <w:bCs/>
          <w:color w:val="auto"/>
          <w:spacing w:val="0"/>
          <w:sz w:val="32"/>
          <w:szCs w:val="32"/>
          <w:highlight w:val="none"/>
          <w:lang w:eastAsia="zh-CN"/>
        </w:rPr>
        <w:t>灌溉供水业务涉及与花卉园区管委会、嵩明县水务局共同出资，权属尚不清晰无法直接划转；国企水务一体化方案正在论证阶段，将积极组织推进相关工作。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已在新一轮国企改革方案中系统明确各公司主责主业，进一步理顺功能定位和业务归属，推动形成“一企一主业”发展格局。工程代建业务已实现整合，承接代建业务的企业已不再承接相关业务；商业运营管理已明确由</w:t>
      </w:r>
      <w:r>
        <w:rPr>
          <w:rFonts w:hint="default" w:ascii="Times New Roman" w:hAnsi="Times New Roman" w:eastAsia="仿宋_GB2312" w:cs="Times New Roman"/>
          <w:sz w:val="32"/>
          <w:szCs w:val="40"/>
          <w:highlight w:val="none"/>
          <w:lang w:val="en-US" w:eastAsia="zh-CN"/>
        </w:rPr>
        <w:t>云南琞源商业运营管理有限</w:t>
      </w:r>
      <w:r>
        <w:rPr>
          <w:rFonts w:hint="default" w:ascii="Times New Roman" w:hAnsi="Times New Roman" w:eastAsia="仿宋_GB2312" w:cs="Times New Roman"/>
          <w:sz w:val="32"/>
          <w:szCs w:val="40"/>
          <w:highlight w:val="none"/>
        </w:rPr>
        <w:t>公司统一承接。相关企业已完成全县国有企业水务一体化方案并进入论证阶段，现代农业股权划转工作已启动。</w:t>
      </w:r>
      <w:r>
        <w:rPr>
          <w:rFonts w:hint="default" w:ascii="Times New Roman" w:hAnsi="Times New Roman" w:eastAsia="仿宋_GB2312" w:cs="Times New Roman"/>
          <w:b w:val="0"/>
          <w:bCs w:val="0"/>
          <w:kern w:val="2"/>
          <w:sz w:val="32"/>
          <w:szCs w:val="40"/>
          <w:highlight w:val="none"/>
          <w:lang w:val="en-US" w:eastAsia="zh-CN" w:bidi="ar-SA"/>
        </w:rPr>
        <w:t>责任领导：李陈，责任部门：云南兰茂星城投资有限公司投资管理中心、各子公司，整改时限：2026年12月31日。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针对巡察反馈统筹党政双线改革不到位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已完成党总支及所属支部换届选举，产生新一届委员会；结合新一轮国企改革架构方案，优化各基层党组织责任区范围，确保推进改革的同时同步实现党的建设和党的工作覆盖到各级子公司。修订完善各党支部议事规则，明确责任区范围内各子公司“三重一大”事项前置审议的流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针对巡察反馈办理人大代表建议有温差</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由总经理牵头组织专题研究安排相关工作推进，积极推进股权划转工作。根据县委、县政府相关会议精神，已印发关于开展将部分企业股权整体划转相关事宜的通知，要求相关企业加快配合推进清产核资、财务审计等各项工作。督促第三方服务机构加快对相关企业的清产核资及财务审计工作。为加强对相关企业监管，公司专门下达工作提醒函，要求“三重一大”事项按照管理层级报公司研究，实现统一管控。</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3.关于巡察反馈履职尽责不到位、生产经营效益差问题的整改情况。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（1）针对巡察反馈落实国有资产保值增值责任不到位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明确功能和战略方向，正按照国企改革方案要求有序推进清产核资等基础工作，下一步将严格依据改革方案系统推进资产与业务重组，将优质资产向核心企业集中划转。对所属企业正式下达差异化经营指标考核体系，实行“一企一策”动态监测。积极推动降本增效，相关企业已对劳务派遣人员进行清退，与部分岗位匹配度较低的员工协商解除劳动关系。</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针对巡察反馈提高主营业务经营效益不够好</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相关企业已完成对近三年经营情况的复盘与收入降低原因分析，并已形成报告，各企业已对影响企业经营收入的相关问题进行查摆，逐一制定整改措施。在本轮国企改革中，已明确公司以承接保交楼项目为主责主业，核心企业为具体承载经营性业务的主体，目前正组织开展业务剥离工作。针对部分下属企业，已明确相关优化调整方案。</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针对巡察反馈开展闲置资产盘活工作成效不</w:t>
      </w:r>
      <w:r>
        <w:rPr>
          <w:rFonts w:hint="default" w:ascii="Times New Roman" w:hAnsi="Times New Roman" w:eastAsia="仿宋_GB2312" w:cs="Times New Roman"/>
          <w:sz w:val="32"/>
          <w:szCs w:val="40"/>
          <w:highlight w:val="none"/>
          <w:lang w:val="en-US" w:eastAsia="zh-CN"/>
        </w:rPr>
        <w:t>突出的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成立资产盘活工作专班，持续发挥统筹协调作用，指导各子公司按照“一资一策”原则深化盘活策略。目前已开展对重点闲置资产的全面清查，建立资产盘活台账。商务楼已正式租赁，职教基地公租房商铺出租率已大幅提升，商业中心出租率已</w:t>
      </w:r>
      <w:r>
        <w:rPr>
          <w:rFonts w:hint="default" w:ascii="Times New Roman" w:hAnsi="Times New Roman" w:eastAsia="仿宋_GB2312" w:cs="Times New Roman"/>
          <w:sz w:val="32"/>
          <w:szCs w:val="40"/>
          <w:highlight w:val="none"/>
          <w:lang w:eastAsia="zh-CN"/>
        </w:rPr>
        <w:t>达到</w:t>
      </w:r>
      <w:r>
        <w:rPr>
          <w:rFonts w:hint="default" w:ascii="Times New Roman" w:hAnsi="Times New Roman" w:eastAsia="仿宋_GB2312" w:cs="Times New Roman"/>
          <w:sz w:val="32"/>
          <w:szCs w:val="40"/>
          <w:highlight w:val="none"/>
        </w:rPr>
        <w:t>较高水平；保障房公司推出的公租房项目已累计出租部分房源。</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针对巡察反馈承接政府投资代建业务不专业</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已印发关于成立项目建设专项清理工作组的通知，规范全集团代建业务管理，对已竣工项目做好结算，杜绝不签代建合同现象；涉及代建业务的公司或部门已同步开始清理项目遗留问题，形成问题报告，逐一化解项目遗留问题；将代建业务管理能力提升已列入年度培训计划，提升团队专业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4.关于巡察反馈风险意识不够强、防范化解能力弱问题的整改情况。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（1）针对巡察反馈债务金融风险较为突出</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建立健全债务动态监测与闭环管控机制，将债务风险防控纳入常态化管理，建立起规范、透明的动态监测与政府督导闭环机制。严格执行月度债务报告制度，定期向县国资委报送到期债务明细及明确的还款资金来源安排，确保所有存量债务还款计划清晰、处于有效监控之下。全方位、多渠道筹措资金，已针对相关项目资产制定专项处置方案，通过市场化方式实现资产变现。</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针对巡察反馈国资流失风险隐患较大</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已完成对相关主体的全面系统性梳理，并已根据梳理情况加强对应收账款的日常管理与持续跟踪。对拖欠时间较长的账款按照应收尽收、应诉尽诉的原则，通过司法等多种途径进行妥善处理。相关欠款正通过土地出让收入返还方式推进；相关债权已申请法院执行局进行强制执行；相关企业已发送律师函若干份，追缴回款若干户；相关企业累计收回拖欠账款若干万元。</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针对巡察反馈生产经营风险防范不足</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加强项目合规管理，已印发关于成立项目建设专项清理工作组的通知，对项目建设程序合规性进行全面清查，组织对工程管理相关制度进行修订完善，严格落实项目实施相关规范要求。常态化建立涉法涉诉情况登记台账，对所有涉法涉诉案件的类别、涉诉金额、判决结果等进行全面梳理及督促解决。专门聘请第三方专业律师事务所作为日常生产经营工作以及投融资、保交楼等重点领域的专项法律顾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针对巡察反馈政策潜在风险防控缺失</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保交楼、保交房、保还款工作持续推进，相关项目借款及担保资产已陆续补齐。对无效抵押资产问题，已通过政府层面对接形成会议备忘，待相关方完成内部审议后签订协议并完成抵押登记。公司垫付的项目利息已由项目方偿还；另一项目垫付利息正通过锁定执行款方式推进追偿。</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针对巡察反馈运维安全风险持续存在</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县保障房公司已优化日常对各保障房小区安全巡查管理机制，对接联合消防部门、物业、社区先后在多个小区开展消防应急演练，常态化加强对各小区日常巡查，对发现隐患问题及时整改。针对消防设施损坏问题，已启动维修造价编制和施工单位招标，部分楼栋已排查维修完成。协同住建、消防等部门督促相关企业加快推进小区消防设施修复，相关企业已正式进场施工。</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针对巡察反馈基层稳定风险不容忽视</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政府与相关企业、各村委会就拖欠租金及拨付事宜进行核准及确认。相关企业已将前期拖欠租金进行一次性拨付清欠。与政府、村委会协商完成涉及相关村委会的土地退还工作。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5.关于巡察反馈化遗解难不主动、问题堆叠难发展问题的整改情况。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（1）针对巡察反馈遗留问题量大面广</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该问题正在整改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未完成的原因</w:t>
      </w:r>
      <w:r>
        <w:rPr>
          <w:rFonts w:hint="default" w:ascii="Times New Roman" w:hAnsi="Times New Roman" w:eastAsia="仿宋_GB2312" w:cs="Times New Roman"/>
          <w:b w:val="0"/>
          <w:bCs/>
          <w:color w:val="auto"/>
          <w:spacing w:val="0"/>
          <w:sz w:val="32"/>
          <w:szCs w:val="32"/>
          <w:highlight w:val="none"/>
          <w:lang w:val="en-US" w:eastAsia="zh-CN"/>
        </w:rPr>
        <w:t>：清产核资与尽调加速推进，遗留问题方案即将形成；应收账款已启动法律追讨，回收进度可控；清算分歧正由专业律师研判，力争近期达成一致路径。整体整改处于有序推进中。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正在开展新一轮国企改革尽调工作，同步梳理各企业存在历史遗留问题清单，对需要清退的股权形成方案，切实理清历史遗留问题的化解路径。股权无偿划转工作取得阶段性进展，审计报告正由第三方会计师事务所抓紧出具，相关核心材料已报送县国资委待审核。相关企业与相关公司就清算注销事宜已取得实质性协商成果，清产核资工作已正式启动。责任领导：杨明、苗子龙，责任部门：</w:t>
      </w:r>
      <w:r>
        <w:rPr>
          <w:rFonts w:hint="eastAsia" w:ascii="Times New Roman" w:hAnsi="Times New Roman" w:eastAsia="仿宋_GB2312" w:cs="Times New Roman"/>
          <w:sz w:val="32"/>
          <w:szCs w:val="40"/>
          <w:highlight w:val="none"/>
          <w:lang w:val="en-US" w:eastAsia="zh-CN"/>
        </w:rPr>
        <w:t>云南</w:t>
      </w:r>
      <w:r>
        <w:rPr>
          <w:rFonts w:hint="default" w:ascii="Times New Roman" w:hAnsi="Times New Roman" w:eastAsia="仿宋_GB2312" w:cs="Times New Roman"/>
          <w:sz w:val="32"/>
          <w:szCs w:val="40"/>
          <w:highlight w:val="none"/>
        </w:rPr>
        <w:t>兰茂</w:t>
      </w:r>
      <w:r>
        <w:rPr>
          <w:rFonts w:hint="eastAsia" w:ascii="Times New Roman" w:hAnsi="Times New Roman" w:eastAsia="仿宋_GB2312" w:cs="Times New Roman"/>
          <w:sz w:val="32"/>
          <w:szCs w:val="40"/>
          <w:highlight w:val="none"/>
          <w:lang w:val="en-US" w:eastAsia="zh-CN"/>
        </w:rPr>
        <w:t>星城投资有限公司</w:t>
      </w:r>
      <w:r>
        <w:rPr>
          <w:rFonts w:hint="default" w:ascii="Times New Roman" w:hAnsi="Times New Roman" w:eastAsia="仿宋_GB2312" w:cs="Times New Roman"/>
          <w:sz w:val="32"/>
          <w:szCs w:val="40"/>
          <w:highlight w:val="none"/>
        </w:rPr>
        <w:t>各管理中心及各子公司，整改时限：2026年12月31日。</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000000"/>
          <w:spacing w:val="0"/>
          <w:sz w:val="32"/>
          <w:szCs w:val="32"/>
          <w:highlight w:val="none"/>
          <w:lang w:eastAsia="zh-CN"/>
        </w:rPr>
      </w:pPr>
      <w:r>
        <w:rPr>
          <w:rFonts w:hint="default" w:ascii="Times New Roman" w:hAnsi="Times New Roman" w:eastAsia="仿宋_GB2312" w:cs="Times New Roman"/>
          <w:sz w:val="32"/>
          <w:szCs w:val="40"/>
          <w:highlight w:val="none"/>
        </w:rPr>
        <w:t>针对巡察反馈化解问题动力不足</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000000"/>
          <w:spacing w:val="0"/>
          <w:sz w:val="32"/>
          <w:szCs w:val="32"/>
          <w:highlight w:val="none"/>
          <w:lang w:eastAsia="zh-CN"/>
        </w:rPr>
        <w:t>【</w:t>
      </w:r>
      <w:r>
        <w:rPr>
          <w:rFonts w:hint="default" w:ascii="Times New Roman" w:hAnsi="Times New Roman" w:eastAsia="黑体" w:cs="Times New Roman"/>
          <w:b w:val="0"/>
          <w:bCs/>
          <w:color w:val="000000"/>
          <w:spacing w:val="0"/>
          <w:sz w:val="32"/>
          <w:szCs w:val="32"/>
          <w:highlight w:val="none"/>
          <w:lang w:eastAsia="zh-CN"/>
        </w:rPr>
        <w:t>该问题已完成整改</w:t>
      </w:r>
      <w:r>
        <w:rPr>
          <w:rFonts w:hint="default" w:ascii="Times New Roman" w:hAnsi="Times New Roman" w:eastAsia="仿宋_GB2312" w:cs="Times New Roman"/>
          <w:b/>
          <w:bCs w:val="0"/>
          <w:color w:val="000000"/>
          <w:spacing w:val="0"/>
          <w:sz w:val="32"/>
          <w:szCs w:val="32"/>
          <w:highlight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组建历史遗留问题化解处置专班，明确“一把手”为遗留问题化解第一责任人。委托专业律师事务所结合国企改革尽调工作，对各个公司历史遗留问题开展梳理并形成解决方案。计划在下一阶段提请县国资委牵头召开联席会议，建立动态跟踪与协同督办机制，对历史遗留问题实行销号处理。</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sz w:val="32"/>
          <w:szCs w:val="40"/>
          <w:highlight w:val="none"/>
        </w:rPr>
        <w:t>针对巡察反馈问题处置进展较慢</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黑体" w:cs="Times New Roman"/>
          <w:b w:val="0"/>
          <w:bCs/>
          <w:color w:val="000000" w:themeColor="text1"/>
          <w:spacing w:val="0"/>
          <w:sz w:val="32"/>
          <w:szCs w:val="32"/>
          <w:highlight w:val="none"/>
          <w:lang w:eastAsia="zh-CN"/>
          <w14:textFill>
            <w14:solidFill>
              <w14:schemeClr w14:val="tx1"/>
            </w14:solidFill>
          </w14:textFill>
        </w:rPr>
        <w:t>该问题已完成整改</w:t>
      </w:r>
      <w:r>
        <w:rPr>
          <w:rFonts w:hint="default" w:ascii="Times New Roman" w:hAnsi="Times New Roman" w:eastAsia="仿宋_GB2312" w:cs="Times New Roman"/>
          <w:b/>
          <w:bCs w:val="0"/>
          <w:color w:val="000000" w:themeColor="text1"/>
          <w:spacing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FF"/>
          <w:kern w:val="2"/>
          <w:sz w:val="32"/>
          <w:szCs w:val="40"/>
          <w:highlight w:val="none"/>
          <w:lang w:val="en-US" w:eastAsia="zh-CN" w:bidi="ar-SA"/>
        </w:rPr>
      </w:pPr>
      <w:r>
        <w:rPr>
          <w:rFonts w:hint="default" w:ascii="Times New Roman" w:hAnsi="Times New Roman" w:eastAsia="仿宋_GB2312" w:cs="Times New Roman"/>
          <w:color w:val="000000" w:themeColor="text1"/>
          <w:kern w:val="2"/>
          <w:sz w:val="32"/>
          <w:szCs w:val="40"/>
          <w:highlight w:val="none"/>
          <w:lang w:val="en-US" w:eastAsia="zh-CN" w:bidi="ar-SA"/>
          <w14:textFill>
            <w14:solidFill>
              <w14:schemeClr w14:val="tx1"/>
            </w14:solidFill>
          </w14:textFill>
        </w:rPr>
        <w:t>一是已与相关出资方开展多轮对接，梳理历史沿革，明确聘请会计师事务所、依法成立清算组、同步开展前期经营情况尽职调查及专项审计等事项。二是已与第一大股东就合资公司清算注销事宜召开专题协商会，双方就清算工作整体安排达成初步共识。三是鉴于合资公司涉及诉讼案件，相关资产依法被采取保全措施。本公司正积极协调各方加快推动解封工作，同步推进资料归集和财务清算前期准备。目前，清产核资专项审计已委托第三方机构实施，待解封工作取得实质进展后，将第一时间依法启动清算程序。四是针对另一家合资公司因前期经营亏损导致的清产核资工作正在稳步推进。其中，国有出资方作为控股股东，严格按照国有资产监管规定履行出资人决策程序，定向减资退出事项须经全体股东依法形成一致意见后方可实施。本公司将持续加强与各方的沟通对接，加快推进股东会决策程序，力争早日完成定向减资退出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（二）关于巡察反馈落实党要管党全面从严治党不到位方面的问题。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1.关于巡察反馈管党治党不严实、</w:t>
      </w:r>
      <w:r>
        <w:rPr>
          <w:rFonts w:hint="default" w:ascii="Times New Roman" w:hAnsi="Times New Roman" w:eastAsia="仿宋_GB2312" w:cs="Times New Roman"/>
          <w:sz w:val="32"/>
          <w:szCs w:val="40"/>
          <w:highlight w:val="none"/>
          <w:lang w:eastAsia="zh-CN"/>
        </w:rPr>
        <w:t>全面从严治党</w:t>
      </w:r>
      <w:r>
        <w:rPr>
          <w:rFonts w:hint="default" w:ascii="Times New Roman" w:hAnsi="Times New Roman" w:eastAsia="仿宋_GB2312" w:cs="Times New Roman"/>
          <w:sz w:val="32"/>
          <w:szCs w:val="40"/>
          <w:highlight w:val="none"/>
        </w:rPr>
        <w:t>有差距问题的整改情况。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（1）针对巡察反馈党建和党风廉政建设重视不够</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召开党总支委员会专题会议听取年度党风廉政建设工作开展情况，安排部署下一年度党建以及党风廉政建设相关工作。制定印发党风廉政建设工作责任制实施办法，党总支书记与各支部书记签订党风廉政建设目标责任书，进一步明确各级党风廉政建设工作责任分工及常态化工作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针对巡察反馈开展廉政党课和实践运用监督执纪“第一种形态”不到位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由党总支书记牵头，将廉政党课纳入党总支及三个党支部的年度党建工作计划，党总支及三个党支部书记均召开党员大会以专题党课形式讲授了廉政党课，党总支书记讲授了以“自律树形象 正气做表率 廉勤促作为”为题的廉政党课，并对全体干部职工进行了警示教育。积极运用“第一种形态”，由党总支书记牵头在集团范</w:t>
      </w:r>
      <w:r>
        <w:rPr>
          <w:rFonts w:hint="default" w:ascii="Times New Roman" w:hAnsi="Times New Roman" w:eastAsia="仿宋_GB2312" w:cs="Times New Roman"/>
          <w:sz w:val="32"/>
          <w:szCs w:val="40"/>
          <w:highlight w:val="none"/>
          <w:lang w:eastAsia="zh-CN"/>
        </w:rPr>
        <w:t>围内</w:t>
      </w:r>
      <w:r>
        <w:rPr>
          <w:rFonts w:hint="default" w:ascii="Times New Roman" w:hAnsi="Times New Roman" w:eastAsia="仿宋_GB2312" w:cs="Times New Roman"/>
          <w:sz w:val="32"/>
          <w:szCs w:val="40"/>
          <w:highlight w:val="none"/>
        </w:rPr>
        <w:t>开展谈心谈话，谈话覆盖各级人员。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2.关于巡察反馈纪律意识较薄弱、违规问题常发生问题的整改情况。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（1）针对巡察反馈违规发放过节费和职工福利</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涉事企业已停止发放相关费用，同步在全集团开展自检自查工作，已无类似问题。公司工会已制定工会管理制度，进一步明确工会会员管理、财务管理及福利管理等规范。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针对巡察反馈违规使用公车</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修订完善公司公车管理制度，以制度落地、管理闭环为核心，杜绝</w:t>
      </w:r>
      <w:r>
        <w:rPr>
          <w:rFonts w:hint="default" w:ascii="Times New Roman" w:hAnsi="Times New Roman" w:eastAsia="仿宋_GB2312" w:cs="Times New Roman"/>
          <w:sz w:val="32"/>
          <w:szCs w:val="40"/>
          <w:highlight w:val="none"/>
          <w:lang w:eastAsia="zh-CN"/>
        </w:rPr>
        <w:t>不违</w:t>
      </w:r>
      <w:r>
        <w:rPr>
          <w:rFonts w:hint="default" w:ascii="Times New Roman" w:hAnsi="Times New Roman" w:eastAsia="仿宋_GB2312" w:cs="Times New Roman"/>
          <w:sz w:val="32"/>
          <w:szCs w:val="40"/>
          <w:highlight w:val="none"/>
        </w:rPr>
        <w:t>规使用公车问题的再次发生。开展公务用车制度全员宣贯，精准界定用车流程与责任边界，确保制度执行无偏差。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（3）</w:t>
      </w:r>
      <w:r>
        <w:rPr>
          <w:rFonts w:hint="default" w:ascii="Times New Roman" w:hAnsi="Times New Roman" w:eastAsia="仿宋_GB2312" w:cs="Times New Roman"/>
          <w:sz w:val="32"/>
          <w:szCs w:val="40"/>
          <w:highlight w:val="none"/>
        </w:rPr>
        <w:t>针对巡察反馈重复报销燃油费</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该笔费用已清退至公司账户。吸取经验教训，积极完善公司财务报销制度，规范报销流程；加强财务管理，规范公司业务流程，加强财务监督，严肃纪律意识。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3.关于巡察反馈项目监管不到位、廉洁工程有短板问题的整改情况。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（1）针对巡察反馈工程实施程序倒置</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修订完善《工程建设项目管理办法》《工程招标采购管理细则》《合同管理办法》等核心制度，明确全流程管理要求，将“先招标、后签约”作为不可逾越的红线。建立“招标采购—合同签订”双审核机制，规范落实“三重一大”决策程序，将相关金额以上的工程建设项目纳入“三重一大”决策范围。建立“常态化检查+季度抽查+跟踪督查”三级监督体系，强化培训提升专业能力，实行岗位制衡机制。</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针对巡察反馈超合同扩大结算</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组织工程、财务、造价咨询等专业人员对相关项目超合同结算事项开展专项核查，逐一梳理超支明细，核销不合规增加项。组织修订完善合同管理办法和工程结算审核细则，形成“事前预警、事中管控、事后追责”的全链条管理体系。严格执行“先审批、后施工、再结算”的变更管理要求，将合同管理纳入常态化培训重点，建立合同管理考核机制。</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针对巡察反馈多记多付工程款</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组织项目管理中心与财务管理中心对涉及整改项目的账务开展核对工作，对多计算的工程款进行核减，对多付工程款进行追缴，对多计待摊投资进行调账处理。对各新建项目均引入第三方服务机构开展项目全过程跟踪审核。</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针对巡察反馈在建工程长期挂账</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公司已完成全面清查并建立动态管理台账，逐项梳理了项目现状及未结转原因。对于后续经核实符合财务管理规定、具备结转条件的项目，将严格按照要求及时办理转固下账。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4.关于巡察反馈内控机制不健全、财务管理不严实问题的整改情况。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（1）针对巡察反馈内控制度不健全</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全面梳理集团本部原有制度，结合整改要求和公司内控体系建设规范需求，征求各方意见后拟定印发相关文件。印发关于进一步完善各所属企业制度体系建设的工作提醒函，要求各党支部及子公司参照集团现有制度体系结合自身实际进行制度建设体系完善工作。正式印发《固定资产管理制度》《投融资管理办法》《股权投资管理办法》等若干项内控制度。</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针对巡察反馈违规支取大额现金较频繁</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已组织并督促各所属企业，严格对照集团资金管理要求，完成本企业资金管理办法的制定、审核与印发工作，从根源上规范了现金使用范围、审批权限与支付流程。涉事单位对历史现金支取事项完成了深刻剖析并提交了专项分析说明报告。</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针对巡察反馈账务和经费管理不规范</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集团层面已统一组织并督促各所属企业，依据国家会计准则及集团会计核算管理制度，完成本企业会计核算细则的制定与发布。相关企业均已严格按照整改要求完成账务调整，并提交了详细的整改报告。</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针对巡察反馈新增固定资产未入账</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由集团财务管理中心牵头，组织各所属企业全面制定并完善了本企业的财务管理制度，重点明确了固定资产的确认标准、入账流程与日常管理要求。对于具体资产未入账事项，相关单位均已严格按照新的管理要求完成相关资产的账务核对工作，并已将上述资产全部补充登记入固定资产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5.关于巡察反馈制度制定不严谨、费用报销不规范问题的整改情况。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（1）针对巡察反馈接待制度自成一套</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相关企业已按照集团接待管理办法修订完善自身的接待管理制度并印发，相关场所严格执行。财务管理中心牵头对各所属企业接待费用报销情况进行了检查，未发现存在超标准接待的情况。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针对巡察反馈费用报销不规范</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各所属企业已按照集团统一要求，严格参照相关规定，全面完成了本企业业务接待管理细则的制定与发布工作，为规范接待与报销行为提供了明确的制度依据。违规款项已清退到位。财务管理中心牵头组织对相关问题开展自检自查，深入分析了管理漏洞与执行不严的原因，并形成了专项报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（三）关于巡察反馈发挥党组织领导作用和政治作用不到位方面的问题。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1.关于巡察反馈领导作用未发挥、议事决策有偏差问题的整改情况。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（1）针对巡察反馈落实党组织前置研究不到位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组织召开总支委扩大会议，围绕《国有企业基层组织工作条例》开展集中学习，将相关内容纳入年度培训计划并组织专项培训。通过党总支委员会议，明确各所属支部严格履行责任区内“三重一大”事项前置把关研究。公司及所属子公司已立行立改，对涉及“三重一大”决策事项均严格执行党组织前置研究后再报经董事会或经理层决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针对巡察反馈执行“三重一大”决策制度不严实</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公司党总支及所属三个党支部均已完成党组织议事规则制度建立，明确公司及所属各级子公司“三重一大”事项须报经党组织前置研究后再提交董事会或经理层作决策。修订完善</w:t>
      </w:r>
      <w:r>
        <w:rPr>
          <w:rFonts w:hint="default" w:ascii="Times New Roman" w:hAnsi="Times New Roman" w:eastAsia="仿宋_GB2312" w:cs="Times New Roman"/>
          <w:sz w:val="32"/>
          <w:szCs w:val="40"/>
          <w:highlight w:val="none"/>
          <w:lang w:eastAsia="zh-CN"/>
        </w:rPr>
        <w:t>《“三重一大”事项集体决策制度实施细则（试行）》</w:t>
      </w:r>
      <w:r>
        <w:rPr>
          <w:rFonts w:hint="default" w:ascii="Times New Roman" w:hAnsi="Times New Roman" w:eastAsia="仿宋_GB2312" w:cs="Times New Roman"/>
          <w:sz w:val="32"/>
          <w:szCs w:val="40"/>
          <w:highlight w:val="none"/>
        </w:rPr>
        <w:t>，进一步明确公司“三重一大”事项内容及决策程序，并厘清公司各治理层级议事决策范围及决策形式等内容。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2.关于巡察反馈党管干部未落实、日常监管有漏洞问题的整改情况。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（1）针对巡察反馈坚持党管干部原则不到位</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修订完善《中层管理人员选拔任用实施管理办法（试行）》，并要求各所属企业结合本办法制定自身的中层管理人员选拔任用制度。通过党总支委员会会议，明确各所属支部书记严格履行“第一责任人”职责，对干部选拔任用严格执行国资委、集团公司现行有关干部管理制度体系；对当前公司干部选拔任用，均严格制定方案报批后按程序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针对巡察反馈干部日常管理有差距</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通过召开党总支委员会议，明确各所属支部书记严格履行“第一责任人”职责，以此为例做好党员干部的日常监管，发现问题及时纠正或按程序报告处理。对新提拔的干部做好联审工作，杜绝出现</w:t>
      </w:r>
      <w:r>
        <w:rPr>
          <w:rFonts w:hint="default" w:ascii="Times New Roman" w:hAnsi="Times New Roman" w:eastAsia="仿宋_GB2312" w:cs="Times New Roman"/>
          <w:sz w:val="32"/>
          <w:szCs w:val="40"/>
          <w:highlight w:val="none"/>
          <w:lang w:eastAsia="zh-CN"/>
        </w:rPr>
        <w:t>“带病提拔”</w:t>
      </w:r>
      <w:r>
        <w:rPr>
          <w:rFonts w:hint="default" w:ascii="Times New Roman" w:hAnsi="Times New Roman" w:eastAsia="仿宋_GB2312" w:cs="Times New Roman"/>
          <w:sz w:val="32"/>
          <w:szCs w:val="40"/>
          <w:highlight w:val="none"/>
        </w:rPr>
        <w:t>。在年度培训计划中，组织开展违规违纪警示教育培训，全面增强干部职工遵纪守法意识。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3.关于巡察反馈组织建设不到位、职能发挥不充分问题的整改情况。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（1）针对巡察反馈工会长期未完成换届</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成立换届选举工作领导小组，在充分征求和听取部分职工意见建议后酝酿推选出新一届委员会候选人名单，已同步报请党总支及国有企业工会联合会进行审查。在取得党总支及上级工会联合会批复后，组织召开职工大会，完成换届选举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针对巡察反馈重要岗位长期空缺</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结合国企改革方案和集团及各所属企业三定方案梳理空缺岗位及人数，组织开展全集团关键岗位人员缺失情况统计。经过统计与研究，形成岗位空缺过渡机制。梳理集团及各所属企业外部招聘及内部竞聘方案，以内部竞聘上岗和社会化招聘相结合的方式填充空缺岗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4.关于巡察反馈党建工作未抓实、堡垒作用不明显问题的整改情况。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（1）针对巡察反馈对党建工作指导不够</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以党总支名义印发关于进一步规范各党支部“第一议题”学习及相关会议记录的通知，对下属支部进行规范性指导。党总支书记到各支部调研谈话，与各子公司负责人进行谈心谈话，与部分基层员工进行座谈交流；到各所属企业进行调研，听取业务推进情况和存在困难，及时给予指导和帮助。制定培训计划，邀请外部党建专家、上级党组织领导，对全体党员干部职工进行授课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针对巡察反馈组织生活不严肃</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lang w:eastAsia="zh-CN"/>
        </w:rPr>
      </w:pPr>
      <w:r>
        <w:rPr>
          <w:rFonts w:hint="default" w:ascii="Times New Roman" w:hAnsi="Times New Roman" w:eastAsia="仿宋_GB2312" w:cs="Times New Roman"/>
          <w:sz w:val="32"/>
          <w:szCs w:val="40"/>
          <w:highlight w:val="none"/>
        </w:rPr>
        <w:t>公司召开党员大会向全体党员说明组织生活会的重要性，并对相关党员进行批评教育。认真梳理组织生活会的会议流程，做到强化会前准备，严控会中流程，狠抓会后整改。建章立制，制定了党支部组织生活会制度，确保该项工作有章可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（四）关于巡察反馈推进巡察和审计反馈问题整改不到位方面的问题。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1.关于巡察反馈落实市委巡察整改不力、涉及问题整改有差距问题的整改情况。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sz w:val="32"/>
          <w:szCs w:val="40"/>
          <w:highlight w:val="none"/>
        </w:rPr>
        <w:t>（1）针对巡察反馈“拖欠职教管委会借款”</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该问题正在整改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val="0"/>
          <w:bCs/>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未完成的原因</w:t>
      </w:r>
      <w:r>
        <w:rPr>
          <w:rFonts w:hint="default" w:ascii="Times New Roman" w:hAnsi="Times New Roman" w:eastAsia="仿宋_GB2312" w:cs="Times New Roman"/>
          <w:b w:val="0"/>
          <w:bCs/>
          <w:color w:val="auto"/>
          <w:spacing w:val="0"/>
          <w:sz w:val="32"/>
          <w:szCs w:val="32"/>
          <w:highlight w:val="none"/>
          <w:lang w:val="en-US" w:eastAsia="zh-CN"/>
        </w:rPr>
        <w:t>：作为县域建设与化债主力平台，公司持续保障重大民生项目投入；当前正积极盘活资金渠道，优化偿债节奏，确保债务化解工作稳步推进。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公司已通过盘活存量资产、加强经营回款等方式积极拓宽资金来源，全力推进债务化解。责任领导：杨明</w:t>
      </w:r>
      <w:r>
        <w:rPr>
          <w:rFonts w:hint="eastAsia" w:ascii="Times New Roman" w:hAnsi="Times New Roman" w:eastAsia="仿宋_GB2312" w:cs="Times New Roman"/>
          <w:sz w:val="32"/>
          <w:szCs w:val="40"/>
          <w:highlight w:val="none"/>
          <w:lang w:eastAsia="zh-CN"/>
        </w:rPr>
        <w:t>、</w:t>
      </w:r>
      <w:r>
        <w:rPr>
          <w:rFonts w:hint="eastAsia" w:ascii="Times New Roman" w:hAnsi="Times New Roman" w:eastAsia="仿宋_GB2312" w:cs="Times New Roman"/>
          <w:sz w:val="32"/>
          <w:szCs w:val="40"/>
          <w:highlight w:val="none"/>
          <w:lang w:val="en-US" w:eastAsia="zh-CN"/>
        </w:rPr>
        <w:t>苗子龙</w:t>
      </w:r>
      <w:r>
        <w:rPr>
          <w:rFonts w:hint="default" w:ascii="Times New Roman" w:hAnsi="Times New Roman" w:eastAsia="仿宋_GB2312" w:cs="Times New Roman"/>
          <w:sz w:val="32"/>
          <w:szCs w:val="40"/>
          <w:highlight w:val="none"/>
        </w:rPr>
        <w:t>，责任部门：云南兰茂星城投资有限公司</w:t>
      </w:r>
      <w:r>
        <w:rPr>
          <w:rFonts w:hint="eastAsia" w:ascii="Times New Roman" w:hAnsi="Times New Roman" w:eastAsia="仿宋_GB2312" w:cs="Times New Roman"/>
          <w:sz w:val="32"/>
          <w:szCs w:val="40"/>
          <w:highlight w:val="none"/>
          <w:lang w:val="en-US" w:eastAsia="zh-CN"/>
        </w:rPr>
        <w:t>财务管理</w:t>
      </w:r>
      <w:r>
        <w:rPr>
          <w:rFonts w:hint="default" w:ascii="Times New Roman" w:hAnsi="Times New Roman" w:eastAsia="仿宋_GB2312" w:cs="Times New Roman"/>
          <w:sz w:val="32"/>
          <w:szCs w:val="40"/>
          <w:highlight w:val="none"/>
        </w:rPr>
        <w:t>中心，整改时限：2026年12月31日。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lang w:eastAsia="zh-CN"/>
        </w:rPr>
      </w:pPr>
      <w:r>
        <w:rPr>
          <w:rFonts w:hint="default" w:ascii="Times New Roman" w:hAnsi="Times New Roman" w:eastAsia="仿宋_GB2312" w:cs="Times New Roman"/>
          <w:kern w:val="2"/>
          <w:sz w:val="32"/>
          <w:szCs w:val="40"/>
          <w:highlight w:val="none"/>
          <w:lang w:val="en-US" w:eastAsia="zh-CN" w:bidi="ar-SA"/>
        </w:rPr>
        <w:t>（2）</w:t>
      </w:r>
      <w:r>
        <w:rPr>
          <w:rFonts w:hint="default" w:ascii="Times New Roman" w:hAnsi="Times New Roman" w:eastAsia="仿宋_GB2312" w:cs="Times New Roman"/>
          <w:sz w:val="32"/>
          <w:szCs w:val="40"/>
          <w:highlight w:val="none"/>
        </w:rPr>
        <w:t>针对巡察反馈“兰茂公司用非自有资金为泰佳鑫公司办理委托贷款”</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lang w:eastAsia="zh-CN"/>
        </w:rPr>
        <w:t>【</w:t>
      </w:r>
      <w:r>
        <w:rPr>
          <w:rFonts w:hint="default" w:ascii="Times New Roman" w:hAnsi="Times New Roman" w:eastAsia="黑体" w:cs="Times New Roman"/>
          <w:b w:val="0"/>
          <w:bCs/>
          <w:color w:val="auto"/>
          <w:spacing w:val="0"/>
          <w:sz w:val="32"/>
          <w:szCs w:val="32"/>
          <w:lang w:eastAsia="zh-CN"/>
        </w:rPr>
        <w:t>该问题</w:t>
      </w:r>
      <w:r>
        <w:rPr>
          <w:rFonts w:hint="eastAsia" w:ascii="Times New Roman" w:hAnsi="Times New Roman" w:eastAsia="黑体" w:cs="Times New Roman"/>
          <w:b w:val="0"/>
          <w:bCs/>
          <w:color w:val="auto"/>
          <w:spacing w:val="0"/>
          <w:sz w:val="32"/>
          <w:szCs w:val="32"/>
          <w:lang w:val="en-US" w:eastAsia="zh-CN"/>
        </w:rPr>
        <w:t>已完成</w:t>
      </w:r>
      <w:r>
        <w:rPr>
          <w:rFonts w:hint="default" w:ascii="Times New Roman" w:hAnsi="Times New Roman" w:eastAsia="黑体" w:cs="Times New Roman"/>
          <w:b w:val="0"/>
          <w:bCs/>
          <w:color w:val="auto"/>
          <w:spacing w:val="0"/>
          <w:sz w:val="32"/>
          <w:szCs w:val="32"/>
          <w:lang w:eastAsia="zh-CN"/>
        </w:rPr>
        <w:t>整改</w:t>
      </w:r>
      <w:r>
        <w:rPr>
          <w:rFonts w:hint="default" w:ascii="Times New Roman" w:hAnsi="Times New Roman" w:eastAsia="仿宋_GB2312" w:cs="Times New Roman"/>
          <w:b/>
          <w:bCs w:val="0"/>
          <w:color w:val="auto"/>
          <w:spacing w:val="0"/>
          <w:sz w:val="32"/>
          <w:szCs w:val="32"/>
          <w:lang w:eastAsia="zh-CN"/>
        </w:rPr>
        <w:t>】</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b w:val="0"/>
          <w:bCs/>
          <w:color w:val="auto"/>
          <w:spacing w:val="0"/>
          <w:sz w:val="32"/>
          <w:szCs w:val="32"/>
          <w:highlight w:val="none"/>
          <w:lang w:eastAsia="zh-CN"/>
        </w:rPr>
      </w:pPr>
      <w:r>
        <w:rPr>
          <w:rFonts w:hint="default" w:ascii="Times New Roman" w:hAnsi="Times New Roman" w:eastAsia="仿宋_GB2312" w:cs="Times New Roman"/>
          <w:b w:val="0"/>
          <w:bCs/>
          <w:color w:val="auto"/>
          <w:spacing w:val="0"/>
          <w:sz w:val="32"/>
          <w:szCs w:val="32"/>
          <w:highlight w:val="none"/>
          <w:lang w:eastAsia="zh-CN"/>
        </w:rPr>
        <w:t>一是兰茂公司已制定了公司投融资管理办法，旨在从制度层面系统规范融资行为，严防类似问题再次发生。二是加强制度培训，强化制度执行，确保所有投融资活动严格依照新制度规范开展，切实做到依法合规、风险可控。</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2.关于巡察反馈落实专项审计重视不够、审计问题整改不严实问题的整改情况。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sz w:val="32"/>
          <w:szCs w:val="40"/>
          <w:highlight w:val="none"/>
        </w:rPr>
        <w:t>（1）针对巡察反馈</w:t>
      </w:r>
      <w:r>
        <w:rPr>
          <w:rFonts w:hint="default" w:ascii="Times New Roman" w:hAnsi="Times New Roman" w:eastAsia="仿宋_GB2312" w:cs="Times New Roman"/>
          <w:sz w:val="32"/>
          <w:szCs w:val="40"/>
          <w:highlight w:val="none"/>
          <w:lang w:val="en-US" w:eastAsia="zh-CN"/>
        </w:rPr>
        <w:t>落实整改工作不利的</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该问题正在整改</w:t>
      </w:r>
      <w:r>
        <w:rPr>
          <w:rFonts w:hint="default" w:ascii="Times New Roman" w:hAnsi="Times New Roman" w:eastAsia="仿宋_GB2312" w:cs="Times New Roman"/>
          <w:b/>
          <w:bCs w:val="0"/>
          <w:color w:val="auto"/>
          <w:spacing w:val="0"/>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仿宋_GB2312" w:cs="Times New Roman"/>
          <w:b w:val="0"/>
          <w:bCs/>
          <w:color w:val="000000"/>
          <w:spacing w:val="0"/>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val="en-US" w:eastAsia="zh-CN"/>
        </w:rPr>
        <w:t>未完成的原因</w:t>
      </w:r>
      <w:r>
        <w:rPr>
          <w:rFonts w:hint="default" w:ascii="Times New Roman" w:hAnsi="Times New Roman" w:eastAsia="仿宋_GB2312" w:cs="Times New Roman"/>
          <w:b w:val="0"/>
          <w:bCs/>
          <w:color w:val="auto"/>
          <w:spacing w:val="0"/>
          <w:sz w:val="32"/>
          <w:szCs w:val="32"/>
          <w:highlight w:val="none"/>
          <w:lang w:val="en-US" w:eastAsia="zh-CN"/>
        </w:rPr>
        <w:t>：</w:t>
      </w:r>
      <w:r>
        <w:rPr>
          <w:rFonts w:hint="default" w:ascii="Times New Roman" w:hAnsi="Times New Roman" w:eastAsia="仿宋_GB2312" w:cs="Times New Roman"/>
          <w:b w:val="0"/>
          <w:bCs/>
          <w:color w:val="000000"/>
          <w:spacing w:val="0"/>
          <w:sz w:val="32"/>
          <w:szCs w:val="32"/>
          <w:highlight w:val="none"/>
          <w:lang w:eastAsia="zh-CN"/>
        </w:rPr>
        <w:t>因涉及</w:t>
      </w:r>
      <w:r>
        <w:rPr>
          <w:rFonts w:hint="eastAsia" w:ascii="Times New Roman" w:hAnsi="Times New Roman" w:eastAsia="仿宋_GB2312" w:cs="Times New Roman"/>
          <w:b w:val="0"/>
          <w:bCs/>
          <w:color w:val="000000"/>
          <w:spacing w:val="0"/>
          <w:sz w:val="32"/>
          <w:szCs w:val="32"/>
          <w:highlight w:val="none"/>
          <w:lang w:val="en-US" w:eastAsia="zh-CN"/>
        </w:rPr>
        <w:t>兰茂路北段</w:t>
      </w:r>
      <w:r>
        <w:rPr>
          <w:rFonts w:hint="default" w:ascii="Times New Roman" w:hAnsi="Times New Roman" w:eastAsia="仿宋_GB2312" w:cs="Times New Roman"/>
          <w:b w:val="0"/>
          <w:bCs/>
          <w:color w:val="000000"/>
          <w:spacing w:val="0"/>
          <w:sz w:val="32"/>
          <w:szCs w:val="32"/>
          <w:highlight w:val="none"/>
          <w:lang w:eastAsia="zh-CN"/>
        </w:rPr>
        <w:t>历史遗留项目，统筹支付资金规模较大，公司正按照分步清退方案积极筹措资金，相关退回工作正在有序推进中。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公司已完成项目建设资金的全面梳理，相关结余资金已部分退回，剩余统筹支付资金正通过账务核对和再融资等方式推进整改。该问题正在整改。责任领导：杨明</w:t>
      </w:r>
      <w:r>
        <w:rPr>
          <w:rFonts w:hint="eastAsia" w:ascii="Times New Roman" w:hAnsi="Times New Roman" w:eastAsia="仿宋_GB2312" w:cs="Times New Roman"/>
          <w:sz w:val="32"/>
          <w:szCs w:val="40"/>
          <w:highlight w:val="none"/>
          <w:lang w:eastAsia="zh-CN"/>
        </w:rPr>
        <w:t>、</w:t>
      </w:r>
      <w:r>
        <w:rPr>
          <w:rFonts w:hint="eastAsia" w:ascii="Times New Roman" w:hAnsi="Times New Roman" w:eastAsia="仿宋_GB2312" w:cs="Times New Roman"/>
          <w:sz w:val="32"/>
          <w:szCs w:val="40"/>
          <w:highlight w:val="none"/>
          <w:lang w:val="en-US" w:eastAsia="zh-CN"/>
        </w:rPr>
        <w:t>苗子龙</w:t>
      </w:r>
      <w:r>
        <w:rPr>
          <w:rFonts w:hint="default" w:ascii="Times New Roman" w:hAnsi="Times New Roman" w:eastAsia="仿宋_GB2312" w:cs="Times New Roman"/>
          <w:sz w:val="32"/>
          <w:szCs w:val="40"/>
          <w:highlight w:val="none"/>
        </w:rPr>
        <w:t>，责任部门：</w:t>
      </w:r>
      <w:r>
        <w:rPr>
          <w:rFonts w:hint="eastAsia" w:ascii="Times New Roman" w:hAnsi="Times New Roman" w:eastAsia="仿宋_GB2312" w:cs="Times New Roman"/>
          <w:sz w:val="32"/>
          <w:szCs w:val="40"/>
          <w:highlight w:val="none"/>
          <w:lang w:val="en-US" w:eastAsia="zh-CN"/>
        </w:rPr>
        <w:t>嵩明荣深生态新城投资有限公司</w:t>
      </w:r>
      <w:r>
        <w:rPr>
          <w:rFonts w:hint="default" w:ascii="Times New Roman" w:hAnsi="Times New Roman" w:eastAsia="仿宋_GB2312" w:cs="Times New Roman"/>
          <w:sz w:val="32"/>
          <w:szCs w:val="40"/>
          <w:highlight w:val="none"/>
        </w:rPr>
        <w:t>，整改时限：2026年12月31日。</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highlight w:val="none"/>
          <w:lang w:eastAsia="zh-CN"/>
        </w:rPr>
      </w:pPr>
      <w:r>
        <w:rPr>
          <w:rFonts w:hint="default" w:ascii="Times New Roman" w:hAnsi="Times New Roman" w:eastAsia="仿宋_GB2312" w:cs="Times New Roman"/>
          <w:sz w:val="32"/>
          <w:szCs w:val="40"/>
          <w:highlight w:val="none"/>
        </w:rPr>
        <w:t>针对巡察反馈“整改问题轻描淡写”</w:t>
      </w:r>
      <w:r>
        <w:rPr>
          <w:rFonts w:hint="default" w:ascii="Times New Roman" w:hAnsi="Times New Roman" w:eastAsia="仿宋_GB2312" w:cs="Times New Roman"/>
          <w:sz w:val="32"/>
          <w:szCs w:val="40"/>
          <w:highlight w:val="none"/>
          <w:lang w:val="en-US" w:eastAsia="zh-CN"/>
        </w:rPr>
        <w:t>的</w:t>
      </w:r>
      <w:r>
        <w:rPr>
          <w:rFonts w:hint="default" w:ascii="Times New Roman" w:hAnsi="Times New Roman" w:eastAsia="仿宋_GB2312" w:cs="Times New Roman"/>
          <w:sz w:val="32"/>
          <w:szCs w:val="40"/>
          <w:highlight w:val="none"/>
        </w:rPr>
        <w:t>问题。</w:t>
      </w:r>
      <w:bookmarkStart w:id="0" w:name="_GoBack"/>
      <w:bookmarkEnd w:id="0"/>
      <w:r>
        <w:rPr>
          <w:rFonts w:hint="default" w:ascii="Times New Roman" w:hAnsi="Times New Roman" w:eastAsia="仿宋_GB2312" w:cs="Times New Roman"/>
          <w:b/>
          <w:bCs w:val="0"/>
          <w:color w:val="auto"/>
          <w:spacing w:val="0"/>
          <w:sz w:val="32"/>
          <w:szCs w:val="32"/>
          <w:highlight w:val="none"/>
          <w:lang w:eastAsia="zh-CN"/>
        </w:rPr>
        <w:t>【</w:t>
      </w:r>
      <w:r>
        <w:rPr>
          <w:rFonts w:hint="default" w:ascii="Times New Roman" w:hAnsi="Times New Roman" w:eastAsia="黑体" w:cs="Times New Roman"/>
          <w:b w:val="0"/>
          <w:bCs/>
          <w:color w:val="auto"/>
          <w:spacing w:val="0"/>
          <w:sz w:val="32"/>
          <w:szCs w:val="32"/>
          <w:highlight w:val="none"/>
          <w:lang w:eastAsia="zh-CN"/>
        </w:rPr>
        <w:t>该问题已完成整改</w:t>
      </w:r>
      <w:r>
        <w:rPr>
          <w:rFonts w:hint="default" w:ascii="Times New Roman" w:hAnsi="Times New Roman" w:eastAsia="仿宋_GB2312" w:cs="Times New Roman"/>
          <w:b/>
          <w:bC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公司党总支高度重视，召开巡察整改专题组织生活会。会上，领导班子及主要负责人紧扣审计指出的“领导责任”问题，主动对号入座，从主观认识偏差、政绩观错位、权力监督弱化等方面开展严肃深入的批评和自我批评，深刻剖析问题产生的思想根源与管理根源。</w:t>
      </w:r>
      <w:r>
        <w:rPr>
          <w:rFonts w:hint="default" w:ascii="Times New Roman" w:hAnsi="Times New Roman" w:eastAsia="仿宋_GB2312" w:cs="Times New Roman"/>
          <w:sz w:val="32"/>
          <w:szCs w:val="40"/>
          <w:highlight w:val="none"/>
          <w:lang w:eastAsia="zh-CN"/>
        </w:rPr>
        <w:t>将</w:t>
      </w:r>
      <w:r>
        <w:rPr>
          <w:rFonts w:hint="default" w:ascii="Times New Roman" w:hAnsi="Times New Roman" w:eastAsia="仿宋_GB2312" w:cs="Times New Roman"/>
          <w:sz w:val="32"/>
          <w:szCs w:val="40"/>
          <w:highlight w:val="none"/>
        </w:rPr>
        <w:t>“强化领导责任”作为整改的核心与主线，通过专题会议、责任清单等形式，将经济决策、管理、监督等方面的领导责任具体化、制度化。着力构建根治问题的长效机制，将审计整改的规范要求与责任体系全面融入公司现有的决策、内控与监督制度中，强化跟踪问效与闭环管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黑体" w:cs="Times New Roman"/>
          <w:sz w:val="32"/>
          <w:szCs w:val="40"/>
          <w:highlight w:val="none"/>
        </w:rPr>
        <w:t>三、持续整改工作打算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一）继续抓好巡察整改后续工作。严格落实巡察整改主体责任，对已完成整改的问题，定期开展“回头看”，巩固整改成果，防止问题反弹；对正在整改的问题，加大工作力度，确保按时限要求完成整改。持续跟踪尚未完成整改的历史遗留问题，加强与相关职能部门、股东方的沟通协调，推动问题尽快化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（二）深入落实管党治党主体责任。坚持以政治建设为统领，把党的领导贯穿公司治理全过程，进一步压实</w:t>
      </w:r>
      <w:r>
        <w:rPr>
          <w:rFonts w:hint="default" w:ascii="Times New Roman" w:hAnsi="Times New Roman" w:eastAsia="仿宋_GB2312" w:cs="Times New Roman"/>
          <w:sz w:val="32"/>
          <w:szCs w:val="40"/>
          <w:highlight w:val="none"/>
          <w:lang w:eastAsia="zh-CN"/>
        </w:rPr>
        <w:t>全面从严治党主体责任</w:t>
      </w:r>
      <w:r>
        <w:rPr>
          <w:rFonts w:hint="default" w:ascii="Times New Roman" w:hAnsi="Times New Roman" w:eastAsia="仿宋_GB2312" w:cs="Times New Roman"/>
          <w:sz w:val="32"/>
          <w:szCs w:val="40"/>
          <w:highlight w:val="none"/>
        </w:rPr>
        <w:t>链条。持续抓好党风廉政建设，强化对重点领域、关键环节的监督制约，营造风清气正的干事创业环境。坚持严的主基调不动摇，运用监督执纪“四种形态”，抓早抓小、防微杜渐。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三）健全制度完善机制严格执行。持续完善公司内控制度体系，针对巡察发现的制度漏洞，举一反三、建章立制，确保制度管根本、管长远。强化制度执行刚性约束，加大制度宣贯和监督检查力度，坚决纠正有令不行、有禁不止的行为，以制度化规范化推动公司治理效能持续提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四）着力推动各项工作全面发展。以此次巡察整改为契机，把整改成效转化为推动工作的强大动力，聚焦国企改革任务，锚定“1+4+N”改革架构，持续深化改革攻坚，全力化解风险隐患，切实提升经营质效，推动公司高质量发展迈上新台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欢迎广大干部群众对我单位的巡察整改落实情况进行监督。如有意见建议，请及时向我们反映。联系电话：0871</w:t>
      </w:r>
      <w:r>
        <w:rPr>
          <w:rFonts w:hint="eastAsia" w:ascii="Times New Roman" w:hAnsi="Times New Roman" w:eastAsia="仿宋_GB2312" w:cs="Times New Roman"/>
          <w:sz w:val="32"/>
          <w:szCs w:val="40"/>
          <w:highlight w:val="none"/>
          <w:lang w:val="en-US" w:eastAsia="zh-CN"/>
        </w:rPr>
        <w:t>-</w:t>
      </w:r>
      <w:r>
        <w:rPr>
          <w:rFonts w:hint="default" w:ascii="Times New Roman" w:hAnsi="Times New Roman" w:eastAsia="仿宋_GB2312" w:cs="Times New Roman"/>
          <w:sz w:val="32"/>
          <w:szCs w:val="40"/>
          <w:highlight w:val="none"/>
        </w:rPr>
        <w:t>679</w:t>
      </w:r>
      <w:r>
        <w:rPr>
          <w:rFonts w:hint="eastAsia" w:ascii="Times New Roman" w:hAnsi="Times New Roman" w:eastAsia="仿宋_GB2312" w:cs="Times New Roman"/>
          <w:sz w:val="32"/>
          <w:szCs w:val="40"/>
          <w:highlight w:val="none"/>
          <w:lang w:val="en-US" w:eastAsia="zh-CN"/>
        </w:rPr>
        <w:t>77930</w:t>
      </w:r>
      <w:r>
        <w:rPr>
          <w:rFonts w:hint="default" w:ascii="Times New Roman" w:hAnsi="Times New Roman" w:eastAsia="仿宋_GB2312" w:cs="Times New Roman"/>
          <w:sz w:val="32"/>
          <w:szCs w:val="40"/>
          <w:highlight w:val="none"/>
        </w:rPr>
        <w:t>；通信地址：云南省昆明市嵩明县</w:t>
      </w:r>
      <w:r>
        <w:rPr>
          <w:rFonts w:hint="default" w:ascii="Times New Roman" w:hAnsi="Times New Roman" w:eastAsia="仿宋_GB2312" w:cs="Times New Roman"/>
          <w:sz w:val="32"/>
          <w:szCs w:val="32"/>
          <w:lang w:val="en-US" w:eastAsia="zh-CN"/>
        </w:rPr>
        <w:t>里外里商业区1A栋13楼</w:t>
      </w:r>
      <w:r>
        <w:rPr>
          <w:rFonts w:hint="default" w:ascii="Times New Roman" w:hAnsi="Times New Roman" w:eastAsia="仿宋_GB2312" w:cs="Times New Roman"/>
          <w:sz w:val="32"/>
          <w:szCs w:val="40"/>
          <w:highlight w:val="none"/>
        </w:rPr>
        <w:t>；邮政编码：651700；电子邮箱：</w:t>
      </w:r>
      <w:r>
        <w:rPr>
          <w:rFonts w:hint="default" w:ascii="Times New Roman" w:hAnsi="Times New Roman" w:eastAsia="仿宋_GB2312" w:cs="Times New Roman"/>
          <w:sz w:val="32"/>
          <w:szCs w:val="32"/>
          <w:lang w:val="en-US" w:eastAsia="zh-CN"/>
        </w:rPr>
        <w:t>YNLMXC@126.com</w:t>
      </w:r>
      <w:r>
        <w:rPr>
          <w:rFonts w:hint="default" w:ascii="Times New Roman" w:hAnsi="Times New Roman" w:eastAsia="仿宋_GB2312" w:cs="Times New Roman"/>
          <w:sz w:val="32"/>
          <w:szCs w:val="4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40"/>
          <w:highlight w:val="none"/>
        </w:rPr>
      </w:pPr>
    </w:p>
    <w:p>
      <w:pPr>
        <w:pStyle w:val="5"/>
        <w:keepNext w:val="0"/>
        <w:keepLines w:val="0"/>
        <w:pageBreakBefore w:val="0"/>
        <w:kinsoku/>
        <w:wordWrap/>
        <w:overflowPunct/>
        <w:topLinePunct w:val="0"/>
        <w:autoSpaceDE/>
        <w:autoSpaceDN/>
        <w:bidi w:val="0"/>
        <w:adjustRightInd/>
        <w:snapToGrid/>
        <w:spacing w:after="0" w:line="560" w:lineRule="exact"/>
        <w:ind w:left="0" w:leftChars="0"/>
        <w:rPr>
          <w:rFonts w:hint="default" w:ascii="Times New Roman" w:hAnsi="Times New Roman" w:eastAsia="仿宋_GB2312" w:cs="Times New Roman"/>
          <w:sz w:val="32"/>
          <w:szCs w:val="40"/>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_GB2312" w:cs="Times New Roman"/>
          <w:sz w:val="32"/>
          <w:szCs w:val="40"/>
          <w:highlight w:val="none"/>
          <w:lang w:val="en-US" w:eastAsia="zh-CN"/>
        </w:rPr>
      </w:pPr>
      <w:r>
        <w:rPr>
          <w:rFonts w:hint="default" w:ascii="Times New Roman" w:hAnsi="Times New Roman" w:eastAsia="仿宋_GB2312" w:cs="Times New Roman"/>
          <w:sz w:val="32"/>
          <w:szCs w:val="40"/>
          <w:highlight w:val="none"/>
          <w:lang w:val="en-US" w:eastAsia="zh-CN"/>
        </w:rPr>
        <w:t>中共</w:t>
      </w:r>
      <w:r>
        <w:rPr>
          <w:rFonts w:hint="default" w:ascii="Times New Roman" w:hAnsi="Times New Roman" w:eastAsia="仿宋_GB2312" w:cs="Times New Roman"/>
          <w:sz w:val="32"/>
          <w:szCs w:val="40"/>
          <w:highlight w:val="none"/>
        </w:rPr>
        <w:t>云南兰茂星城投资有限公司总支</w:t>
      </w:r>
      <w:r>
        <w:rPr>
          <w:rFonts w:hint="default" w:ascii="Times New Roman" w:hAnsi="Times New Roman" w:eastAsia="仿宋_GB2312" w:cs="Times New Roman"/>
          <w:sz w:val="32"/>
          <w:szCs w:val="40"/>
          <w:highlight w:val="none"/>
          <w:lang w:val="en-US" w:eastAsia="zh-CN"/>
        </w:rPr>
        <w:t>部委员会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480" w:firstLineChars="14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2026年</w:t>
      </w:r>
      <w:r>
        <w:rPr>
          <w:rFonts w:hint="eastAsia" w:ascii="Times New Roman" w:hAnsi="Times New Roman" w:eastAsia="仿宋_GB2312" w:cs="Times New Roman"/>
          <w:sz w:val="32"/>
          <w:szCs w:val="40"/>
          <w:highlight w:val="none"/>
          <w:lang w:val="en-US" w:eastAsia="zh-CN"/>
        </w:rPr>
        <w:t>7</w:t>
      </w:r>
      <w:r>
        <w:rPr>
          <w:rFonts w:hint="default" w:ascii="Times New Roman" w:hAnsi="Times New Roman" w:eastAsia="仿宋_GB2312" w:cs="Times New Roman"/>
          <w:sz w:val="32"/>
          <w:szCs w:val="40"/>
          <w:highlight w:val="none"/>
        </w:rPr>
        <w:t>月</w:t>
      </w:r>
      <w:r>
        <w:rPr>
          <w:rFonts w:hint="eastAsia" w:ascii="Times New Roman" w:hAnsi="Times New Roman" w:eastAsia="仿宋_GB2312" w:cs="Times New Roman"/>
          <w:sz w:val="32"/>
          <w:szCs w:val="40"/>
          <w:highlight w:val="none"/>
          <w:lang w:val="en-US" w:eastAsia="zh-CN"/>
        </w:rPr>
        <w:t>6</w:t>
      </w:r>
      <w:r>
        <w:rPr>
          <w:rFonts w:hint="default" w:ascii="Times New Roman" w:hAnsi="Times New Roman" w:eastAsia="仿宋_GB2312" w:cs="Times New Roman"/>
          <w:sz w:val="32"/>
          <w:szCs w:val="40"/>
          <w:highlight w:val="none"/>
        </w:rPr>
        <w:t>日</w:t>
      </w:r>
    </w:p>
    <w:sectPr>
      <w:headerReference r:id="rId3" w:type="default"/>
      <w:footerReference r:id="rId4" w:type="default"/>
      <w:pgSz w:w="11906" w:h="16838"/>
      <w:pgMar w:top="2211" w:right="1531" w:bottom="1871"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83FA32F-2E50-4942-915F-AE959E6C6C00}"/>
  </w:font>
  <w:font w:name="黑体">
    <w:panose1 w:val="02010609060101010101"/>
    <w:charset w:val="86"/>
    <w:family w:val="auto"/>
    <w:pitch w:val="default"/>
    <w:sig w:usb0="800002BF" w:usb1="38CF7CFA" w:usb2="00000016" w:usb3="00000000" w:csb0="00040001" w:csb1="00000000"/>
    <w:embedRegular r:id="rId2" w:fontKey="{5E6E01C2-A8FF-49AE-BEBB-FE8B2DF0648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A8583D92-7901-411C-9A82-7CD56D68ADD7}"/>
  </w:font>
  <w:font w:name="仿宋_GB2312">
    <w:panose1 w:val="02010609030101010101"/>
    <w:charset w:val="86"/>
    <w:family w:val="modern"/>
    <w:pitch w:val="default"/>
    <w:sig w:usb0="00000001" w:usb1="080E0000" w:usb2="00000000" w:usb3="00000000" w:csb0="00040000" w:csb1="00000000"/>
    <w:embedRegular r:id="rId4" w:fontKey="{35DED113-4075-4FE6-AF7E-C45889C137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2"/>
      <w:numFmt w:val="decimal"/>
      <w:suff w:val="nothing"/>
      <w:lvlText w:val="（%1）"/>
      <w:lvlJc w:val="left"/>
    </w:lvl>
  </w:abstractNum>
  <w:abstractNum w:abstractNumId="1">
    <w:nsid w:val="00000001"/>
    <w:multiLevelType w:val="singleLevel"/>
    <w:tmpl w:val="00000001"/>
    <w:lvl w:ilvl="0" w:tentative="0">
      <w:start w:val="2"/>
      <w:numFmt w:val="decimal"/>
      <w:suff w:val="nothing"/>
      <w:lvlText w:val="（%1）"/>
      <w:lvlJc w:val="left"/>
    </w:lvl>
  </w:abstractNum>
  <w:abstractNum w:abstractNumId="2">
    <w:nsid w:val="00000002"/>
    <w:multiLevelType w:val="singleLevel"/>
    <w:tmpl w:val="00000002"/>
    <w:lvl w:ilvl="0" w:tentative="0">
      <w:start w:val="2"/>
      <w:numFmt w:val="decimal"/>
      <w:suff w:val="nothing"/>
      <w:lvlText w:val="（%1）"/>
      <w:lvlJc w:val="left"/>
    </w:lvl>
  </w:abstractNum>
  <w:abstractNum w:abstractNumId="3">
    <w:nsid w:val="00000003"/>
    <w:multiLevelType w:val="singleLevel"/>
    <w:tmpl w:val="00000003"/>
    <w:lvl w:ilvl="0" w:tentative="0">
      <w:start w:val="2"/>
      <w:numFmt w:val="decimal"/>
      <w:suff w:val="nothing"/>
      <w:lvlText w:val="（%1）"/>
      <w:lvlJc w:val="left"/>
    </w:lvl>
  </w:abstractNum>
  <w:abstractNum w:abstractNumId="4">
    <w:nsid w:val="00000004"/>
    <w:multiLevelType w:val="singleLevel"/>
    <w:tmpl w:val="00000004"/>
    <w:lvl w:ilvl="0" w:tentative="0">
      <w:start w:val="2"/>
      <w:numFmt w:val="decimal"/>
      <w:suff w:val="nothing"/>
      <w:lvlText w:val="（%1）"/>
      <w:lvlJc w:val="left"/>
    </w:lvl>
  </w:abstractNum>
  <w:abstractNum w:abstractNumId="5">
    <w:nsid w:val="00000005"/>
    <w:multiLevelType w:val="singleLevel"/>
    <w:tmpl w:val="00000005"/>
    <w:lvl w:ilvl="0" w:tentative="0">
      <w:start w:val="2"/>
      <w:numFmt w:val="decimal"/>
      <w:suff w:val="nothing"/>
      <w:lvlText w:val="（%1）"/>
      <w:lvlJc w:val="left"/>
    </w:lvl>
  </w:abstractNum>
  <w:abstractNum w:abstractNumId="6">
    <w:nsid w:val="00000006"/>
    <w:multiLevelType w:val="singleLevel"/>
    <w:tmpl w:val="00000006"/>
    <w:lvl w:ilvl="0" w:tentative="0">
      <w:start w:val="2"/>
      <w:numFmt w:val="decimal"/>
      <w:suff w:val="nothing"/>
      <w:lvlText w:val="（%1）"/>
      <w:lvlJc w:val="left"/>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455E58"/>
    <w:rsid w:val="36954607"/>
    <w:rsid w:val="40B606C4"/>
    <w:rsid w:val="48CB190D"/>
    <w:rsid w:val="49176B59"/>
    <w:rsid w:val="4C6D5CD6"/>
    <w:rsid w:val="55717BEE"/>
    <w:rsid w:val="6559037D"/>
    <w:rsid w:val="707628D8"/>
    <w:rsid w:val="7E2B5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10">
    <w:name w:val="Default Paragraph Font"/>
    <w:qFormat/>
    <w:uiPriority w:val="0"/>
  </w:style>
  <w:style w:type="table" w:default="1" w:styleId="9">
    <w:name w:val="Normal Table"/>
    <w:qFormat/>
    <w:uiPriority w:val="0"/>
    <w:tblPr>
      <w:tblLayout w:type="fixed"/>
      <w:tblCellMar>
        <w:top w:w="0" w:type="dxa"/>
        <w:left w:w="108" w:type="dxa"/>
        <w:bottom w:w="0" w:type="dxa"/>
        <w:right w:w="108" w:type="dxa"/>
      </w:tblCellMar>
    </w:tblPr>
  </w:style>
  <w:style w:type="paragraph" w:styleId="2">
    <w:name w:val="Body Text"/>
    <w:next w:val="3"/>
    <w:qFormat/>
    <w:uiPriority w:val="99"/>
    <w:pPr>
      <w:widowControl w:val="0"/>
      <w:ind w:left="108"/>
      <w:jc w:val="both"/>
    </w:pPr>
    <w:rPr>
      <w:rFonts w:ascii="宋体" w:hAnsi="宋体" w:eastAsia="宋体" w:cs="宋体"/>
      <w:kern w:val="2"/>
      <w:sz w:val="32"/>
      <w:szCs w:val="32"/>
      <w:lang w:val="zh-CN" w:eastAsia="zh-CN" w:bidi="ar-SA"/>
    </w:rPr>
  </w:style>
  <w:style w:type="paragraph" w:styleId="3">
    <w:name w:val="toc 5"/>
    <w:next w:val="1"/>
    <w:qFormat/>
    <w:uiPriority w:val="99"/>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5">
    <w:name w:val="Body Text Indent 2"/>
    <w:basedOn w:val="1"/>
    <w:qFormat/>
    <w:uiPriority w:val="0"/>
    <w:pPr>
      <w:spacing w:after="120" w:afterAutospacing="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Table Text"/>
    <w:basedOn w:val="1"/>
    <w:qFormat/>
    <w:uiPriority w:val="0"/>
    <w:rPr>
      <w:rFonts w:ascii="宋体" w:hAnsi="宋体" w:eastAsia="宋体" w:cs="宋体"/>
      <w:sz w:val="34"/>
      <w:szCs w:val="34"/>
      <w:lang w:val="en-US" w:eastAsia="en-US" w:bidi="ar-SA"/>
    </w:rPr>
  </w:style>
  <w:style w:type="table" w:customStyle="1" w:styleId="12">
    <w:name w:val="Table Normal"/>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a00167ec-9296-4d19-90ea-7eccbfb3a593</errorID>
      <errorWord>突出</errorWord>
      <group>L1_Grammar</group>
      <groupName>语法问题</groupName>
      <ability>L2_Order</ability>
      <abilityName>语序不当</abilityName>
      <candidateList>
        <item>明显</item>
      </candidateList>
      <explain>句子可能没有遵循时空、逻辑顺序，或者介词、关联词等位置不当。</explain>
      <paraID>7868E6AE</paraID>
      <start>22</start>
      <end>24</end>
      <status>modified</status>
      <modifiedWord>明显</modifiedWord>
      <trackRevisions>false</trackRevisions>
    </reviewItem>
    <reviewItem>
      <errorID>58b9632b-b81b-4fcb-9e43-33b3943d06e9</errorID>
      <errorWord>达</errorWord>
      <group>L1_Word</group>
      <groupName>字词问题</groupName>
      <ability>L2_Typo</ability>
      <abilityName>字词错误</abilityName>
      <candidateList>
        <item>达到</item>
      </candidateList>
      <explain>〈动〉到（多指抽象事物或程度）：达得到｜达不到｜目的没有～｜～国际水平。</explain>
      <paraID>7868E6AE</paraID>
      <start>136</start>
      <end>138</end>
      <status>modified</status>
      <modifiedWord>达到</modifiedWord>
      <trackRevisions>false</trackRevisions>
    </reviewItem>
    <reviewItem>
      <errorID>3f44dd4d-bfba-4c63-8254-7db8d42ae788</errorID>
      <errorWord>从严治党</errorWord>
      <group>L1_Word</group>
      <groupName>字词问题</groupName>
      <ability>L2_Typo</ability>
      <abilityName>字词错误</abilityName>
      <candidateList>
        <item>全面从严治党</item>
      </candidateList>
      <explain/>
      <paraID>7D11F71C</paraID>
      <start>17</start>
      <end>23</end>
      <status>modified</status>
      <modifiedWord>全面从严治党</modifiedWord>
      <trackRevisions>false</trackRevisions>
    </reviewItem>
    <reviewItem>
      <errorID>641d609e-6e17-4e2c-ae86-d9e6063dcf3c</errorID>
      <errorWord>围</errorWord>
      <group>L1_Word</group>
      <groupName>字词问题</groupName>
      <ability>L2_Typo</ability>
      <abilityName>字词错误</abilityName>
      <candidateList>
        <item>围内</item>
      </candidateList>
      <explain/>
      <paraID>156AEF10</paraID>
      <start>181</start>
      <end>183</end>
      <status>modified</status>
      <modifiedWord>围内</modifiedWord>
      <trackRevisions>false</trackRevisions>
    </reviewItem>
    <reviewItem>
      <errorID>bc73c244-8c53-4c43-8480-b4aee48359b7</errorID>
      <errorWord>不</errorWord>
      <group>L1_Word</group>
      <groupName>字词问题</groupName>
      <ability>L2_Typo</ability>
      <abilityName>字词错误</abilityName>
      <candidateList>
        <item>不违</item>
      </candidateList>
      <explain/>
      <paraID> 105F726</paraID>
      <start>47</start>
      <end>49</end>
      <status>modified</status>
      <modifiedWord>不违</modifiedWord>
      <trackRevisions>false</trackRevisions>
    </reviewItem>
    <reviewItem>
      <errorID>bf53b735-4cef-4271-ba61-22cd14c1e130</errorID>
      <errorWord>《“三重一大”事项集体决策制度实施细则》（试行）</errorWord>
      <group>L1_Knowledge</group>
      <groupName>知识性问题</groupName>
      <ability>L2_Knowledge</ability>
      <abilityName>其他知识</abilityName>
      <candidateList>
        <item>《“三重一大”事项集体决策制度实施细则（试行）》</item>
      </candidateList>
      <explain>疑似政策文件、法律法规名称等书写不规范，请注意检查。</explain>
      <paraID> 2206AAC</paraID>
      <start>105</start>
      <end>129</end>
      <status>modified</status>
      <modifiedWord>《“三重一大”事项集体决策制度实施细则（试行）》</modifiedWord>
      <trackRevisions>false</trackRevisions>
    </reviewItem>
    <reviewItem>
      <errorID>5a6cfda2-0e5e-4d4c-80f9-9bf614df1329</errorID>
      <errorWord>“带病”提拔</errorWord>
      <group>L1_Political</group>
      <groupName>政治性问题</groupName>
      <ability>L2_Keyword</ability>
      <abilityName>固定表述</abilityName>
      <candidateList>
        <item>“带病提拔”</item>
      </candidateList>
      <explain>注意检查当前固定表述标点是否使用规范。</explain>
      <paraID>7AC2768A</paraID>
      <start>117</start>
      <end>123</end>
      <status>modified</status>
      <modifiedWord>“带病提拔”</modifiedWord>
      <trackRevisions>false</trackRevisions>
    </reviewItem>
    <reviewItem>
      <errorID>d6799531-a266-4ebf-a053-f4737a221ea1</errorID>
      <errorWord>已将</errorWord>
      <group>L1_Word</group>
      <groupName>字词问题</groupName>
      <ability>L2_Typo</ability>
      <abilityName>字词错误</abilityName>
      <candidateList>
        <item>将</item>
      </candidateList>
      <explain>（jiāng）将要；（jiàng）勇将、上将、游泳健将；（qiāng）请求，将子无怒。</explain>
      <paraID>174DAAED</paraID>
      <start>139</start>
      <end>140</end>
      <status>modified</status>
      <modifiedWord>将</modifiedWord>
      <trackRevisions>false</trackRevisions>
    </reviewItem>
    <reviewItem>
      <errorID>afedf40b-0a62-46c1-98ee-bd9b7e138518</errorID>
      <errorWord>全面从严治党责任</errorWord>
      <group>L1_Word</group>
      <groupName>字词问题</groupName>
      <ability>L2_Typo</ability>
      <abilityName>字词错误</abilityName>
      <candidateList>
        <item>全面从严治党主体责任</item>
      </candidateList>
      <explain/>
      <paraID>57FE8E0E</paraID>
      <start>48</start>
      <end>58</end>
      <status>modified</status>
      <modifiedWord>全面从严治党主体责任</modifiedWord>
      <trackRevisions>false</trackRevisions>
    </reviewItem>
    <reviewItem>
      <errorID>42ec4017-6c20-4c0b-9446-3a9c7ad20643</errorID>
      <errorWord>情形的</errorWord>
      <group>L1_Word</group>
      <groupName>字词问题</groupName>
      <ability>L2_Typo</ability>
      <abilityName>字词错误</abilityName>
      <candidateList>
        <item>情形</item>
      </candidateList>
      <explain/>
      <paraID> 6F24CF7</paraID>
      <start>82</start>
      <end>84</end>
      <status>modified</status>
      <modifiedWord>情形</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61a39f-daf7-48cc-9f2b-148ecaf23368}">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1678</Words>
  <Characters>1696</Characters>
  <Paragraphs>160</Paragraphs>
  <TotalTime>7</TotalTime>
  <ScaleCrop>false</ScaleCrop>
  <LinksUpToDate>false</LinksUpToDate>
  <CharactersWithSpaces>1696</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2026-06-23T00:37:00Z</dcterms:created>
  <dc:creator>包婷婷</dc:creator>
  <cp:lastModifiedBy>嵩明县委巡察办</cp:lastModifiedBy>
  <dcterms:modified xsi:type="dcterms:W3CDTF">2026-07-07T02:10:16Z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107200A247074B9AAA29498A0DBAD1F9_13</vt:lpwstr>
  </property>
  <property fmtid="{D5CDD505-2E9C-101B-9397-08002B2CF9AE}" pid="4" name="KSOTemplateDocerSaveRecord">
    <vt:lpwstr>eyJoZGlkIjoiNzY5ZGYyYzQ4NjYzZWM5ZjMyYmNmZTZhMTkwNjUxOTciLCJ1c2VySWQiOiI5MDMzMDA3MzQifQ==</vt:lpwstr>
  </property>
</Properties>
</file>