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方正小标宋简体"/>
          <w:color w:val="auto"/>
          <w:kern w:val="2"/>
          <w:sz w:val="44"/>
          <w:szCs w:val="44"/>
          <w:lang w:val="en-US" w:eastAsia="zh-CN" w:bidi="ar-SA"/>
        </w:rPr>
      </w:pPr>
      <w:r>
        <w:rPr>
          <w:rFonts w:hint="eastAsia" w:ascii="Times New Roman" w:hAnsi="Times New Roman" w:eastAsia="方正小标宋简体" w:cs="方正小标宋简体"/>
          <w:color w:val="auto"/>
          <w:kern w:val="2"/>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-273685</wp:posOffset>
                </wp:positionH>
                <wp:positionV relativeFrom="paragraph">
                  <wp:posOffset>-257175</wp:posOffset>
                </wp:positionV>
                <wp:extent cx="660400" cy="311150"/>
                <wp:effectExtent l="0" t="0" r="6350" b="12700"/>
                <wp:wrapNone/>
                <wp:docPr id="2" name="文本框 2"/>
                <wp:cNvGraphicFramePr/>
                <a:graphic xmlns:a="http://schemas.openxmlformats.org/drawingml/2006/main">
                  <a:graphicData uri="http://schemas.microsoft.com/office/word/2010/wordprocessingShape">
                    <wps:wsp>
                      <wps:cNvSpPr txBox="1"/>
                      <wps:spPr>
                        <a:xfrm>
                          <a:off x="0" y="0"/>
                          <a:ext cx="660400" cy="311150"/>
                        </a:xfrm>
                        <a:prstGeom prst="rect">
                          <a:avLst/>
                        </a:prstGeom>
                        <a:solidFill>
                          <a:srgbClr val="FFFFFF"/>
                        </a:solidFill>
                        <a:ln w="9525" cap="flat" cmpd="sng">
                          <a:noFill/>
                          <a:prstDash val="solid"/>
                          <a:miter/>
                          <a:headEnd type="none" w="med" len="med"/>
                          <a:tailEnd type="none" w="med" len="med"/>
                        </a:ln>
                      </wps:spPr>
                      <wps:txbx>
                        <w:txbxContent>
                          <w:p>
                            <w:pPr>
                              <w:rPr>
                                <w:rFonts w:hint="default" w:eastAsia="宋体"/>
                                <w:lang w:val="en-US" w:eastAsia="zh-CN"/>
                              </w:rPr>
                            </w:pPr>
                          </w:p>
                        </w:txbxContent>
                      </wps:txbx>
                      <wps:bodyPr upright="1"/>
                    </wps:wsp>
                  </a:graphicData>
                </a:graphic>
              </wp:anchor>
            </w:drawing>
          </mc:Choice>
          <mc:Fallback>
            <w:pict>
              <v:shape id="_x0000_s1026" o:spid="_x0000_s1026" o:spt="202" type="#_x0000_t202" style="position:absolute;left:0pt;margin-left:-21.55pt;margin-top:-20.25pt;height:24.5pt;width:52pt;z-index:251660288;mso-width-relative:page;mso-height-relative:page;" fillcolor="#FFFFFF" filled="t" stroked="f" coordsize="21600,21600" o:gfxdata="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Xhz&#10;1gAAAAgBAAAPAAAAAAAAAAEAIAAAACIAAABkcnMvZG93bnJldi54bWxQSwECFAAUAAAACACHTuJA&#10;GN1pUuoBAAC+AwAADgAAAAAAAAABACAAAAAlAQAAZHJzL2Uyb0RvYy54bWxQSwUGAAAAAAYABgBZ&#10;AQAAgQUAAAAA&#10;">
                <v:fill on="t" focussize="0,0"/>
                <v:stroke on="f" joinstyle="miter"/>
                <v:imagedata o:title=""/>
                <o:lock v:ext="edit" aspectratio="f"/>
                <v:textbox>
                  <w:txbxContent>
                    <w:p>
                      <w:pPr>
                        <w:rPr>
                          <w:rFonts w:hint="default" w:eastAsia="宋体"/>
                          <w:lang w:val="en-US" w:eastAsia="zh-CN"/>
                        </w:rPr>
                      </w:pPr>
                    </w:p>
                  </w:txbxContent>
                </v:textbox>
              </v:shape>
            </w:pict>
          </mc:Fallback>
        </mc:AlternateContent>
      </w:r>
      <w:r>
        <w:rPr>
          <w:rFonts w:hint="eastAsia" w:ascii="Times New Roman" w:hAnsi="Times New Roman" w:eastAsia="方正小标宋简体" w:cs="方正小标宋简体"/>
          <w:color w:val="auto"/>
          <w:kern w:val="2"/>
          <w:sz w:val="44"/>
          <w:szCs w:val="44"/>
          <w:lang w:val="en-US" w:eastAsia="zh-CN" w:bidi="ar-SA"/>
        </w:rPr>
        <w:t>龙泉社区党总支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Arial"/>
          <w:b w:val="0"/>
          <w:bCs w:val="0"/>
          <w:color w:val="auto"/>
          <w:spacing w:val="8"/>
          <w:kern w:val="0"/>
          <w:sz w:val="44"/>
          <w:szCs w:val="44"/>
          <w:lang w:val="en-US" w:eastAsia="zh-CN" w:bidi="ar-SA"/>
        </w:rPr>
      </w:pPr>
      <w:r>
        <w:rPr>
          <w:rFonts w:hint="eastAsia" w:ascii="Times New Roman" w:hAnsi="Times New Roman" w:eastAsia="方正小标宋简体" w:cs="方正小标宋简体"/>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w:t>
      </w: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巡察组于</w:t>
      </w:r>
      <w:r>
        <w:rPr>
          <w:rFonts w:hint="eastAsia" w:ascii="Times New Roman" w:hAnsi="Times New Roman" w:eastAsia="仿宋_GB2312" w:cs="Times New Roman"/>
          <w:color w:val="auto"/>
          <w:kern w:val="2"/>
          <w:sz w:val="32"/>
          <w:szCs w:val="32"/>
          <w:lang w:val="en-US" w:eastAsia="zh-CN" w:bidi="ar-SA"/>
        </w:rPr>
        <w:t>2025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en-US" w:eastAsia="zh-CN" w:bidi="ar-SA"/>
        </w:rPr>
        <w:t>日至</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30</w:t>
      </w:r>
      <w:r>
        <w:rPr>
          <w:rFonts w:hint="default" w:ascii="Times New Roman" w:hAnsi="Times New Roman" w:eastAsia="仿宋_GB2312" w:cs="Times New Roman"/>
          <w:color w:val="auto"/>
          <w:kern w:val="2"/>
          <w:sz w:val="32"/>
          <w:szCs w:val="32"/>
          <w:lang w:val="en-US" w:eastAsia="zh-CN" w:bidi="ar-SA"/>
        </w:rPr>
        <w:t>日，对</w:t>
      </w:r>
      <w:r>
        <w:rPr>
          <w:rFonts w:hint="eastAsia" w:ascii="Times New Roman" w:hAnsi="Times New Roman" w:eastAsia="仿宋_GB2312" w:cs="Times New Roman"/>
          <w:color w:val="auto"/>
          <w:kern w:val="2"/>
          <w:sz w:val="32"/>
          <w:szCs w:val="32"/>
          <w:lang w:val="en-US" w:eastAsia="zh-CN" w:bidi="ar-SA"/>
        </w:rPr>
        <w:t>龙泉社区党总支</w:t>
      </w:r>
      <w:r>
        <w:rPr>
          <w:rFonts w:hint="default" w:ascii="Times New Roman" w:hAnsi="Times New Roman" w:eastAsia="仿宋_GB2312" w:cs="Times New Roman"/>
          <w:color w:val="auto"/>
          <w:kern w:val="2"/>
          <w:sz w:val="32"/>
          <w:szCs w:val="32"/>
          <w:lang w:val="en-US" w:eastAsia="zh-CN" w:bidi="ar-SA"/>
        </w:rPr>
        <w:t>开展了巡察。</w:t>
      </w:r>
      <w:r>
        <w:rPr>
          <w:rFonts w:hint="eastAsia" w:ascii="Times New Roman" w:hAnsi="Times New Roman" w:eastAsia="仿宋_GB2312" w:cs="Times New Roman"/>
          <w:color w:val="auto"/>
          <w:kern w:val="2"/>
          <w:sz w:val="32"/>
          <w:szCs w:val="32"/>
          <w:lang w:val="en-US" w:eastAsia="zh-CN" w:bidi="ar-SA"/>
        </w:rPr>
        <w:t>2025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en-US" w:eastAsia="zh-CN" w:bidi="ar-SA"/>
        </w:rPr>
        <w:t>日县委第</w:t>
      </w: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巡察组向</w:t>
      </w:r>
      <w:r>
        <w:rPr>
          <w:rFonts w:hint="eastAsia" w:ascii="Times New Roman" w:hAnsi="Times New Roman" w:eastAsia="仿宋_GB2312" w:cs="Times New Roman"/>
          <w:color w:val="auto"/>
          <w:kern w:val="2"/>
          <w:sz w:val="32"/>
          <w:szCs w:val="32"/>
          <w:lang w:val="en-US" w:eastAsia="zh-CN" w:bidi="ar-SA"/>
        </w:rPr>
        <w:t>龙泉社区党总支</w:t>
      </w:r>
      <w:r>
        <w:rPr>
          <w:rFonts w:hint="default" w:ascii="Times New Roman" w:hAnsi="Times New Roman" w:eastAsia="仿宋_GB2312" w:cs="Times New Roman"/>
          <w:color w:val="auto"/>
          <w:kern w:val="2"/>
          <w:sz w:val="32"/>
          <w:szCs w:val="32"/>
          <w:lang w:val="en-US" w:eastAsia="zh-CN" w:bidi="ar-SA"/>
        </w:rPr>
        <w:t>反馈了巡察情况。</w:t>
      </w:r>
      <w:r>
        <w:rPr>
          <w:rFonts w:hint="eastAsia" w:ascii="Times New Roman" w:hAnsi="Times New Roman" w:eastAsia="仿宋_GB2312" w:cs="Times New Roman"/>
          <w:color w:val="auto"/>
          <w:kern w:val="2"/>
          <w:sz w:val="32"/>
          <w:szCs w:val="32"/>
          <w:lang w:val="en-US" w:eastAsia="zh-CN" w:bidi="ar-SA"/>
        </w:rPr>
        <w:t>现集中整改期已届满，结合巡察整改进展情况，</w:t>
      </w:r>
      <w:r>
        <w:rPr>
          <w:rFonts w:hint="default" w:ascii="Times New Roman" w:hAnsi="Times New Roman" w:eastAsia="仿宋_GB2312" w:cs="Times New Roman"/>
          <w:color w:val="auto"/>
          <w:kern w:val="2"/>
          <w:sz w:val="32"/>
          <w:szCs w:val="32"/>
          <w:lang w:val="en-US" w:eastAsia="zh-CN" w:bidi="ar-SA"/>
        </w:rPr>
        <w:t>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巡察组共反馈了</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b w:val="0"/>
          <w:color w:val="auto"/>
          <w:kern w:val="0"/>
          <w:sz w:val="32"/>
          <w:szCs w:val="32"/>
          <w:shd w:val="clear" w:color="auto" w:fill="FFFFFF"/>
          <w:lang w:val="en-US" w:eastAsia="zh-CN" w:bidi="ar"/>
        </w:rPr>
        <w:t>个方面19</w:t>
      </w:r>
      <w:r>
        <w:rPr>
          <w:rFonts w:hint="default" w:ascii="Times New Roman" w:hAnsi="Times New Roman" w:eastAsia="仿宋_GB2312" w:cs="Times New Roman"/>
          <w:color w:val="auto"/>
          <w:sz w:val="32"/>
          <w:szCs w:val="32"/>
          <w:lang w:val="en-US" w:eastAsia="zh-CN"/>
        </w:rPr>
        <w:t>个问题；</w:t>
      </w:r>
      <w:r>
        <w:rPr>
          <w:rFonts w:hint="eastAsia" w:ascii="Times New Roman" w:hAnsi="Times New Roman" w:eastAsia="仿宋_GB2312" w:cs="Times New Roman"/>
          <w:color w:val="auto"/>
          <w:sz w:val="32"/>
          <w:szCs w:val="32"/>
          <w:lang w:val="en-US" w:eastAsia="zh-CN"/>
        </w:rPr>
        <w:t>龙泉社区党总支</w:t>
      </w:r>
      <w:r>
        <w:rPr>
          <w:rFonts w:hint="default" w:ascii="Times New Roman" w:hAnsi="Times New Roman" w:eastAsia="仿宋_GB2312" w:cs="Times New Roman"/>
          <w:color w:val="auto"/>
          <w:sz w:val="32"/>
          <w:szCs w:val="32"/>
          <w:lang w:val="en-US" w:eastAsia="zh-CN"/>
        </w:rPr>
        <w:t>制定整改措施</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项；截止整改时限到期已完成整改的问题</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个，落实整改率为</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修订和新建</w:t>
      </w:r>
      <w:r>
        <w:rPr>
          <w:rFonts w:hint="default" w:ascii="Times New Roman" w:hAnsi="Times New Roman" w:eastAsia="仿宋_GB2312" w:cs="Times New Roman"/>
          <w:color w:val="auto"/>
          <w:sz w:val="32"/>
          <w:szCs w:val="32"/>
          <w:lang w:val="en-US" w:eastAsia="zh-CN"/>
        </w:rPr>
        <w:t>制度</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sz w:val="32"/>
          <w:szCs w:val="32"/>
          <w:lang w:val="en-US" w:eastAsia="zh-CN"/>
        </w:rPr>
        <w:t>无未完成整改问题。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i w:val="0"/>
          <w:caps w:val="0"/>
          <w:color w:val="auto"/>
          <w:spacing w:val="0"/>
          <w:sz w:val="24"/>
          <w:szCs w:val="24"/>
          <w:shd w:val="clear" w:fill="FFFFFF"/>
        </w:rPr>
      </w:pPr>
      <w:r>
        <w:rPr>
          <w:rFonts w:hint="eastAsia" w:ascii="Times New Roman" w:hAnsi="Times New Roman" w:eastAsia="黑体" w:cs="黑体"/>
          <w:b w:val="0"/>
          <w:i w:val="0"/>
          <w:caps w:val="0"/>
          <w:color w:val="auto"/>
          <w:spacing w:val="0"/>
          <w:sz w:val="32"/>
          <w:szCs w:val="32"/>
          <w:shd w:val="clear" w:fill="FFFFFF"/>
        </w:rPr>
        <w:t>一、</w:t>
      </w:r>
      <w:r>
        <w:rPr>
          <w:rFonts w:hint="eastAsia" w:ascii="Times New Roman" w:hAnsi="Times New Roman" w:eastAsia="黑体" w:cs="黑体"/>
          <w:b w:val="0"/>
          <w:i w:val="0"/>
          <w:caps w:val="0"/>
          <w:color w:val="auto"/>
          <w:spacing w:val="0"/>
          <w:sz w:val="32"/>
          <w:szCs w:val="32"/>
          <w:shd w:val="clear" w:fill="FFFFFF"/>
          <w:lang w:eastAsia="zh-CN"/>
        </w:rPr>
        <w:t>组织</w:t>
      </w:r>
      <w:r>
        <w:rPr>
          <w:rFonts w:hint="eastAsia" w:ascii="Times New Roman" w:hAnsi="Times New Roman" w:eastAsia="黑体" w:cs="黑体"/>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楷体_GB2312"/>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巡察反馈后，社区党总支第一时间召开专题会议，深入学习巡察反馈意见和县委关于巡察整改的工作要求，深刻认识到巡察整改是重要政治任务，是践行“两个维护”的具体行动。通过专题学习统一班子成员思想，切实把思想和行动凝聚到整改落实工作上来，以高度的政治责任感和务实作风，坚决扛起整改主体责任，确保整改工作不走过场、取得实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楷体_GB2312"/>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r>
        <w:rPr>
          <w:rFonts w:hint="eastAsia" w:ascii="Times New Roman" w:hAnsi="Times New Roman" w:eastAsia="仿宋_GB2312" w:cs="Times New Roman"/>
          <w:b w:val="0"/>
          <w:i w:val="0"/>
          <w:caps w:val="0"/>
          <w:color w:val="auto"/>
          <w:spacing w:val="0"/>
          <w:sz w:val="32"/>
          <w:szCs w:val="32"/>
          <w:lang w:val="en-US" w:eastAsia="zh-CN"/>
        </w:rPr>
        <w:t>成立以党总支书记袁晓东为组长，党总支副书记杨艳、监委会主任杨龙为副组长，“两委”班子成员、各党支部书记为组员的巡察整改工作小组，明确职责分工。制定《龙泉社区党总支关于落实县委第一巡察组巡察反馈意见的整改方案》，将19个反馈问题逐一分解，细化整改措施、明确责任人和完成时限，形成“一把手”负总责、班子成员分工负责、各支部具体落实的“一级抓一级、层层抓落实”责任体系。建立“周调度、月通报”机制，定期召开整改推进会，动态跟踪整改进展，对整改不力的责任人及时约谈提醒，倒逼整改任务落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楷体_GB2312"/>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坚持“当下改”与“长久立”相结合，针对巡察反馈问题暴露出的制度漏洞和管理短板，聚焦意识形态、财务报销、项目采购、固定资产管理、绩效考核等关键领域，新建完善8项制度，形成靠制度管权、管事、管人的长效机制。注重制度执行实效，将制度学习纳入党员干部培训内容，建立定期检查机制，每季度开展一次制度执行情况专项督查，及时发现并解决制度落实中的问题，以制度建设固化整改成果，推动社区工作规范化、长效化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b w:val="0"/>
          <w:i w:val="0"/>
          <w:caps w:val="0"/>
          <w:color w:val="auto"/>
          <w:spacing w:val="0"/>
          <w:sz w:val="32"/>
          <w:szCs w:val="32"/>
          <w:shd w:val="clear" w:fill="FFFFFF"/>
        </w:rPr>
      </w:pPr>
      <w:r>
        <w:rPr>
          <w:rFonts w:hint="default" w:ascii="Times New Roman" w:hAnsi="Times New Roman" w:eastAsia="黑体" w:cs="黑体"/>
          <w:b w:val="0"/>
          <w:i w:val="0"/>
          <w:caps w:val="0"/>
          <w:color w:val="auto"/>
          <w:spacing w:val="0"/>
          <w:sz w:val="32"/>
          <w:szCs w:val="32"/>
          <w:shd w:val="clear" w:fill="FFFFFF"/>
        </w:rPr>
        <w:t>二、问题整改</w:t>
      </w:r>
      <w:r>
        <w:rPr>
          <w:rFonts w:hint="default" w:ascii="Times New Roman" w:hAnsi="Times New Roman" w:eastAsia="黑体" w:cs="黑体"/>
          <w:b w:val="0"/>
          <w:i w:val="0"/>
          <w:caps w:val="0"/>
          <w:color w:val="auto"/>
          <w:spacing w:val="0"/>
          <w:sz w:val="32"/>
          <w:szCs w:val="32"/>
          <w:shd w:val="clear" w:fill="FFFFFF"/>
          <w:lang w:eastAsia="zh-CN"/>
        </w:rPr>
        <w:t>落实</w:t>
      </w:r>
      <w:r>
        <w:rPr>
          <w:rFonts w:hint="default" w:ascii="Times New Roman" w:hAnsi="Times New Roman" w:eastAsia="黑体" w:cs="黑体"/>
          <w:b w:val="0"/>
          <w:i w:val="0"/>
          <w:caps w:val="0"/>
          <w:color w:val="auto"/>
          <w:spacing w:val="0"/>
          <w:sz w:val="32"/>
          <w:szCs w:val="32"/>
          <w:shd w:val="clear" w:fill="FFFFFF"/>
        </w:rPr>
        <w:t>情况</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楷体_GB2312" w:cs="Times New Roman"/>
          <w:b w:val="0"/>
          <w:bCs/>
          <w:color w:val="auto"/>
          <w:spacing w:val="0"/>
          <w:sz w:val="32"/>
          <w:szCs w:val="32"/>
          <w:lang w:eastAsia="zh-CN"/>
        </w:rPr>
      </w:pPr>
      <w:r>
        <w:rPr>
          <w:rFonts w:hint="eastAsia" w:ascii="Times New Roman" w:hAnsi="Times New Roman" w:eastAsia="楷体_GB2312" w:cs="Times New Roman"/>
          <w:b w:val="0"/>
          <w:bCs/>
          <w:color w:val="auto"/>
          <w:spacing w:val="0"/>
          <w:sz w:val="32"/>
          <w:szCs w:val="32"/>
          <w:lang w:eastAsia="zh-CN"/>
        </w:rPr>
        <w:t>（一）</w:t>
      </w:r>
      <w:r>
        <w:rPr>
          <w:rFonts w:hint="eastAsia" w:ascii="Times New Roman" w:hAnsi="Times New Roman" w:eastAsia="楷体_GB2312" w:cs="楷体_GB2312"/>
          <w:b w:val="0"/>
          <w:bCs/>
          <w:color w:val="auto"/>
          <w:spacing w:val="0"/>
          <w:sz w:val="32"/>
          <w:szCs w:val="32"/>
          <w:lang w:eastAsia="zh-CN"/>
        </w:rPr>
        <w:t>关于巡察反馈“聚焦党的理论路线方针政策和党中央决策部署在基层的落实情况加强监督，督促基层党组织和党员干部以实际行动做到‘两个维护’方面”的问题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rPr>
        <w:t>1</w:t>
      </w:r>
      <w:r>
        <w:rPr>
          <w:rFonts w:hint="eastAsia" w:ascii="Times New Roman" w:hAnsi="Times New Roman" w:eastAsia="仿宋_GB2312" w:cs="仿宋_GB2312"/>
          <w:b/>
          <w:bCs w:val="0"/>
          <w:color w:val="auto"/>
          <w:spacing w:val="0"/>
          <w:sz w:val="32"/>
          <w:szCs w:val="32"/>
          <w:lang w:val="en-US" w:eastAsia="zh-CN"/>
        </w:rPr>
        <w:t>.关于巡察反馈“理论学习不到位，学习缺位”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rPr>
        <w:t>明确将党的重要会议精神学习纳入年度重点任务，优化会议安排，每次会议预留学习时间，扩大学习成员覆盖范围，通过集中学习、自主学习、“理论+实践”等多种模式提升学习实效。借助“学习强国”、社区微信群等平台推送学习资料，建立学习记录每月抽查机制，确保学习入脑入心，党员干部政治理论素养显著提升</w:t>
      </w:r>
      <w:r>
        <w:rPr>
          <w:rFonts w:hint="eastAsia" w:ascii="Times New Roman" w:hAnsi="Times New Roman" w:eastAsia="仿宋_GB2312" w:cs="仿宋_GB2312"/>
          <w:b w:val="0"/>
          <w:bCs/>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2.关于巡察反馈“意识形态工作责任制落实有差距”</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i w:val="0"/>
          <w:iCs w:val="0"/>
          <w:caps w:val="0"/>
          <w:spacing w:val="0"/>
          <w:sz w:val="32"/>
          <w:szCs w:val="32"/>
          <w:shd w:val="clear" w:fill="FFFFFF"/>
        </w:rPr>
        <w:t>严格对照意识形态工作责任制相关要求常态化推进落实，建立每季度意识形态形势分析会机制，聚焦社区热点问题和网络舆情开展研判，形成专题研判报告。将意识形态工作与社区治理、民生服务同步推进，建立舆情监测台账，安排专人负责日常舆情跟踪，及时回应居民关切，未出现重大意识形态风险。</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组织工作人员深入学习习近平总书记关于意识形态工作的重要论述，进一步提升思想认识，已将意识形态工作纳入年度工作计划，明确目标任务、责任人和推进步骤，与其他工作同部署、同考核，确保各项工作按计划有序推进。</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3.关于巡察反馈</w:t>
      </w:r>
      <w:r>
        <w:rPr>
          <w:rFonts w:hint="eastAsia" w:ascii="Times New Roman" w:hAnsi="Times New Roman" w:eastAsia="仿宋_GB2312" w:cs="仿宋_GB2312"/>
          <w:b/>
          <w:bCs/>
          <w:sz w:val="32"/>
          <w:szCs w:val="32"/>
          <w:lang w:val="en-US" w:eastAsia="zh-CN"/>
        </w:rPr>
        <w:t>“第一议题学习制度执行不到位”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仿宋_GB2312" w:hAnsi="仿宋_GB2312" w:eastAsia="仿宋_GB2312" w:cs="仿宋_GB2312"/>
          <w:b/>
          <w:bCs w:val="0"/>
          <w:color w:val="auto"/>
          <w:spacing w:val="0"/>
          <w:sz w:val="32"/>
          <w:szCs w:val="32"/>
        </w:rPr>
        <w:t>（1）</w:t>
      </w:r>
      <w:r>
        <w:rPr>
          <w:rFonts w:hint="eastAsia" w:ascii="仿宋_GB2312" w:hAnsi="仿宋_GB2312" w:eastAsia="仿宋_GB2312" w:cs="仿宋_GB2312"/>
          <w:b/>
          <w:bCs w:val="0"/>
          <w:color w:val="auto"/>
          <w:spacing w:val="0"/>
          <w:sz w:val="32"/>
          <w:szCs w:val="32"/>
          <w:lang w:eastAsia="zh-CN"/>
        </w:rPr>
        <w:t>针对巡察反馈</w:t>
      </w:r>
      <w:r>
        <w:rPr>
          <w:rFonts w:hint="eastAsia" w:ascii="Times New Roman" w:hAnsi="Times New Roman" w:eastAsia="仿宋_GB2312" w:cs="仿宋_GB2312"/>
          <w:b/>
          <w:bCs/>
          <w:sz w:val="32"/>
          <w:szCs w:val="32"/>
          <w:lang w:val="en-US" w:eastAsia="zh-CN"/>
        </w:rPr>
        <w:t>“第一议题学习制度执行不到位”</w:t>
      </w:r>
      <w:r>
        <w:rPr>
          <w:rFonts w:hint="eastAsia" w:ascii="仿宋_GB2312" w:hAnsi="仿宋_GB2312" w:eastAsia="仿宋_GB2312" w:cs="仿宋_GB2312"/>
          <w:b/>
          <w:bCs w:val="0"/>
          <w:color w:val="auto"/>
          <w:spacing w:val="0"/>
          <w:sz w:val="32"/>
          <w:szCs w:val="32"/>
          <w:lang w:val="en-US" w:eastAsia="zh-CN"/>
        </w:rPr>
        <w:t>的</w:t>
      </w:r>
      <w:r>
        <w:rPr>
          <w:rFonts w:hint="eastAsia" w:ascii="仿宋_GB2312" w:hAnsi="仿宋_GB2312" w:eastAsia="仿宋_GB2312" w:cs="仿宋_GB2312"/>
          <w:b/>
          <w:bCs w:val="0"/>
          <w:color w:val="auto"/>
          <w:spacing w:val="0"/>
          <w:sz w:val="32"/>
          <w:szCs w:val="32"/>
          <w:lang w:eastAsia="zh-CN"/>
        </w:rPr>
        <w:t>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规范各类会议流程，明确党总支会议、党支部会议等均严格落实“第一议题”学习制度，明确每次学习时长不少于20分钟，学习内容涵盖习近平总书记重要讲话、党中央决策部署等核心内容，确保学习质量和针对性。</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4.关于巡察反馈</w:t>
      </w:r>
      <w:r>
        <w:rPr>
          <w:rFonts w:hint="eastAsia" w:ascii="Times New Roman" w:hAnsi="Times New Roman" w:eastAsia="仿宋_GB2312" w:cs="仿宋_GB2312"/>
          <w:b/>
          <w:bCs/>
          <w:sz w:val="32"/>
          <w:szCs w:val="32"/>
          <w:lang w:val="en-US" w:eastAsia="zh-CN"/>
        </w:rPr>
        <w:t>“为民服务水平有待加强”</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通过实地走访、民情恳谈等方式广泛收集居民意见建议，确定利用社区公共用房推进新嘉园小区党群服务中心建设，目前已完成选址。优化现有党群服务中心功能，拓展政策宣讲、养老服务、儿童托管等为民服务内容，将理论学习与志愿服务有机结合，组织党员在服务中践行初心，居民满意度持续提升。</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5.关于巡察反馈</w:t>
      </w:r>
      <w:r>
        <w:rPr>
          <w:rFonts w:hint="eastAsia" w:ascii="Times New Roman" w:hAnsi="Times New Roman" w:eastAsia="仿宋_GB2312" w:cs="仿宋_GB2312"/>
          <w:b/>
          <w:bCs/>
          <w:sz w:val="32"/>
          <w:szCs w:val="32"/>
          <w:lang w:val="en-US" w:eastAsia="zh-CN"/>
        </w:rPr>
        <w:t>“爱国卫生‘七个专项行动’工作成效不佳”</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仿宋_GB2312"/>
          <w:b w:val="0"/>
          <w:bCs/>
          <w:color w:val="auto"/>
          <w:spacing w:val="0"/>
          <w:sz w:val="32"/>
          <w:szCs w:val="32"/>
          <w:lang w:val="en-US" w:eastAsia="zh-CN"/>
        </w:rPr>
      </w:pPr>
      <w:r>
        <w:rPr>
          <w:rFonts w:hint="default" w:ascii="Times New Roman" w:hAnsi="Times New Roman" w:eastAsia="仿宋_GB2312" w:cs="仿宋_GB2312"/>
          <w:b w:val="0"/>
          <w:bCs/>
          <w:color w:val="auto"/>
          <w:spacing w:val="0"/>
          <w:sz w:val="32"/>
          <w:szCs w:val="32"/>
          <w:lang w:val="en-US" w:eastAsia="zh-CN"/>
        </w:rPr>
        <w:t>组建“社区+物业+志愿者”专项清洁队伍，建立每周五“城市清洁日”固定行动机制，集中整治卫生死角和楼道杂物。通过社区公告栏、居民微信群等渠道广泛宣传爱国卫生知识，组织健康讲座，提升居民参与积极性。划分5个卫生责任网格，配备专职网格员，建立每周三巡检和问题整改台账机制，持续巩固整治成效，未再出现同类问题反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楷体_GB2312" w:cs="Times New Roman"/>
          <w:b w:val="0"/>
          <w:bCs/>
          <w:color w:val="auto"/>
          <w:spacing w:val="0"/>
          <w:sz w:val="32"/>
          <w:szCs w:val="32"/>
          <w:lang w:eastAsia="zh-CN"/>
        </w:rPr>
      </w:pPr>
      <w:r>
        <w:rPr>
          <w:rFonts w:hint="eastAsia" w:ascii="Times New Roman" w:hAnsi="Times New Roman" w:eastAsia="楷体_GB2312" w:cs="Times New Roman"/>
          <w:b w:val="0"/>
          <w:bCs/>
          <w:color w:val="auto"/>
          <w:spacing w:val="0"/>
          <w:sz w:val="32"/>
          <w:szCs w:val="32"/>
          <w:lang w:eastAsia="zh-CN"/>
        </w:rPr>
        <w:t>（</w:t>
      </w:r>
      <w:r>
        <w:rPr>
          <w:rFonts w:hint="eastAsia" w:ascii="Times New Roman" w:hAnsi="Times New Roman" w:eastAsia="楷体_GB2312" w:cs="Times New Roman"/>
          <w:b w:val="0"/>
          <w:bCs/>
          <w:color w:val="auto"/>
          <w:spacing w:val="0"/>
          <w:sz w:val="32"/>
          <w:szCs w:val="32"/>
          <w:lang w:val="en-US" w:eastAsia="zh-CN"/>
        </w:rPr>
        <w:t>二</w:t>
      </w:r>
      <w:r>
        <w:rPr>
          <w:rFonts w:hint="eastAsia" w:ascii="Times New Roman" w:hAnsi="Times New Roman" w:eastAsia="楷体_GB2312" w:cs="Times New Roman"/>
          <w:b w:val="0"/>
          <w:bCs/>
          <w:color w:val="auto"/>
          <w:spacing w:val="0"/>
          <w:sz w:val="32"/>
          <w:szCs w:val="32"/>
          <w:lang w:eastAsia="zh-CN"/>
        </w:rPr>
        <w:t>）</w:t>
      </w:r>
      <w:r>
        <w:rPr>
          <w:rFonts w:hint="eastAsia" w:ascii="Times New Roman" w:hAnsi="Times New Roman" w:eastAsia="楷体_GB2312" w:cs="楷体_GB2312"/>
          <w:b w:val="0"/>
          <w:bCs/>
          <w:color w:val="auto"/>
          <w:spacing w:val="0"/>
          <w:sz w:val="32"/>
          <w:szCs w:val="32"/>
          <w:lang w:eastAsia="zh-CN"/>
        </w:rPr>
        <w:t>关于巡察反馈“聚焦群众身边腐败问题和不正之风加强监督，推动全面从严治党向基层延伸方面”的问题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rPr>
        <w:t>1</w:t>
      </w:r>
      <w:r>
        <w:rPr>
          <w:rFonts w:hint="eastAsia" w:ascii="Times New Roman" w:hAnsi="Times New Roman" w:eastAsia="仿宋_GB2312" w:cs="仿宋_GB2312"/>
          <w:b/>
          <w:bCs w:val="0"/>
          <w:color w:val="auto"/>
          <w:spacing w:val="0"/>
          <w:sz w:val="32"/>
          <w:szCs w:val="32"/>
          <w:lang w:val="en-US" w:eastAsia="zh-CN"/>
        </w:rPr>
        <w:t>.关于巡察反馈“理论学习不到位，学习缺位”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bCs w:val="0"/>
          <w:color w:val="auto"/>
          <w:spacing w:val="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仿宋_GB2312"/>
          <w:b w:val="0"/>
          <w:bCs/>
          <w:color w:val="auto"/>
          <w:spacing w:val="0"/>
          <w:sz w:val="32"/>
          <w:szCs w:val="32"/>
          <w:lang w:val="en-US" w:eastAsia="zh-CN"/>
        </w:rPr>
      </w:pPr>
      <w:r>
        <w:rPr>
          <w:rFonts w:hint="default" w:ascii="Times New Roman" w:hAnsi="Times New Roman" w:eastAsia="仿宋_GB2312" w:cs="仿宋_GB2312"/>
          <w:b w:val="0"/>
          <w:bCs/>
          <w:color w:val="auto"/>
          <w:spacing w:val="0"/>
          <w:sz w:val="32"/>
          <w:szCs w:val="32"/>
          <w:lang w:val="en-US" w:eastAsia="zh-CN"/>
        </w:rPr>
        <w:t>对照上级考核反馈问题建立专项整改台账，完成全部问题整改并开展“回头看”。制定年度党课计划，明确“两委”班子成员每人每季度至少讲党课1次，提升党课质量和实效性。党总支书记、监委会主任结合社区实际，充分运用监督执纪第一种形态，聚焦苗头性、倾向性问题抓早抓小，开展提醒谈话，筑牢廉政防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2.关于巡察反馈“居务监督委员会履职不到位”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仿宋_GB2312"/>
          <w:b w:val="0"/>
          <w:bCs/>
          <w:color w:val="auto"/>
          <w:spacing w:val="0"/>
          <w:sz w:val="32"/>
          <w:szCs w:val="32"/>
          <w:lang w:val="en-US" w:eastAsia="zh-CN"/>
        </w:rPr>
      </w:pPr>
      <w:r>
        <w:rPr>
          <w:rFonts w:hint="default" w:ascii="Times New Roman" w:hAnsi="Times New Roman" w:eastAsia="仿宋_GB2312" w:cs="仿宋_GB2312"/>
          <w:b w:val="0"/>
          <w:bCs/>
          <w:color w:val="auto"/>
          <w:spacing w:val="0"/>
          <w:sz w:val="32"/>
          <w:szCs w:val="32"/>
          <w:lang w:val="en-US" w:eastAsia="zh-CN"/>
        </w:rPr>
        <w:t>组织居务监督委员会成员参加专项培训，明确监督职责和工作流程，提升监督能力。明确监委会主任在“两委”研究“三重一大”事项时必须发表监督意见，规范会议记录，确保监督作用有效发挥。</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规范工作流程，明确重要公示材料需经监委会主任签字确认后方可公示。完善《居务监督委员会工作记录》填写要求，安排专人每月检查记录情况，确保监督意见、实施结果记录完整清晰。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3.关于巡察反馈“医保缴费工作有差距”</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构建“宣传+服务+督导”一体化工作体系，通过微信群推送政策解读、电话提醒、入户走访等方式扩大宣传覆盖，动员零散人员参保。安排专人负责医保缴费专项工作，明确网格员责任，建立每月进度通报和专项督导机制。为行动不便的老人、残疾人等特殊群体提供上门代办服务，切实提升参保率，保障居民医疗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4.关于巡察反馈“固定资产管理不规范”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开展固定资产全面盘查，完成投影仪、道闸的登记入账，建立完整固定资产台账。组织财务人员、资产管理人员学习固定资产管理工作流程，明确新购资产7个工作日内入账，建立常态化管理机制，确保资产账实相符、管理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5.关于巡察反馈“差旅费报销不规范”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袁晓东已退回超标准报销的88元，并形成专题报告。组织财务人员、“两委”班子学习差旅费报销标准，明确报销需提供车票、住宿发票等完整原始凭证。建立“财务人员初审+监委会复审+主任终审”的三级审核机制，确保报销流程合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6.关于巡察反馈“餐费报销不规范”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组织财务人员、相关责任人学习费用报销管理细则，明确餐费报销需附用餐人员名单、事由说明、具体时间等材料。修订报销审批流程，杜绝“提前签批”“日期倒签”等行为，建立餐费报销材料“清单式”审核机制，对过往报销记录进行全面核查整改，确保报销流程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7.关于巡察反馈“</w:t>
      </w:r>
      <w:r>
        <w:rPr>
          <w:rFonts w:hint="eastAsia" w:ascii="Times New Roman" w:hAnsi="Times New Roman" w:eastAsia="仿宋_GB2312" w:cs="仿宋_GB2312"/>
          <w:b/>
          <w:bCs/>
          <w:sz w:val="32"/>
          <w:szCs w:val="32"/>
          <w:lang w:val="en-US" w:eastAsia="zh-CN"/>
        </w:rPr>
        <w:t>项目采购程序不规范</w:t>
      </w:r>
      <w:r>
        <w:rPr>
          <w:rFonts w:hint="eastAsia" w:ascii="Times New Roman" w:hAnsi="Times New Roman" w:eastAsia="仿宋_GB2312" w:cs="仿宋_GB2312"/>
          <w:b/>
          <w:bCs w:val="0"/>
          <w:color w:val="auto"/>
          <w:spacing w:val="0"/>
          <w:sz w:val="32"/>
          <w:szCs w:val="32"/>
          <w:lang w:val="en-US" w:eastAsia="zh-CN"/>
        </w:rPr>
        <w:t>”</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组织工作人员系统学习项目采购运行流程，明确金额1000元以上的采购项目必须执行询价程序，且需留存3家及以上供应商报价单。对相关责任人进行批评教育，要求作出书面检查。建立采购专项台账，详细记录采购全流程信息，明确居务监督委员会全程监督职责，设立举报电话，接受居民监督，每季度核查采购台账，防止问题反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8.关于巡察反馈“项目实施管理不规范”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制定《社区项目采购合同管理办法》，明确所有项目无论金额大小均需签订书面合同，明确项目内容、金额、工期、质量要求、违约责任等条款。建立“申请－询价－签约－验收－付款”全流程管理台账，每个环节均需相关责任人签字确认，严格执行“无合同不付款”原则。加强项目负责人培训，建立每季度项目合规性检查机制，确保项目实施全程规范可追溯。</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楷体_GB2312" w:cs="Times New Roman"/>
          <w:b w:val="0"/>
          <w:bCs/>
          <w:color w:val="auto"/>
          <w:spacing w:val="0"/>
          <w:sz w:val="32"/>
          <w:szCs w:val="32"/>
          <w:lang w:eastAsia="zh-CN"/>
        </w:rPr>
      </w:pPr>
      <w:r>
        <w:rPr>
          <w:rFonts w:hint="eastAsia" w:ascii="Times New Roman" w:hAnsi="Times New Roman" w:eastAsia="楷体_GB2312" w:cs="Times New Roman"/>
          <w:b w:val="0"/>
          <w:bCs/>
          <w:color w:val="auto"/>
          <w:spacing w:val="0"/>
          <w:sz w:val="32"/>
          <w:szCs w:val="32"/>
          <w:lang w:eastAsia="zh-CN"/>
        </w:rPr>
        <w:t>（</w:t>
      </w:r>
      <w:r>
        <w:rPr>
          <w:rFonts w:hint="eastAsia" w:ascii="Times New Roman" w:hAnsi="Times New Roman" w:eastAsia="楷体_GB2312" w:cs="Times New Roman"/>
          <w:b w:val="0"/>
          <w:bCs/>
          <w:color w:val="auto"/>
          <w:spacing w:val="0"/>
          <w:sz w:val="32"/>
          <w:szCs w:val="32"/>
          <w:lang w:val="en-US" w:eastAsia="zh-CN"/>
        </w:rPr>
        <w:t>三</w:t>
      </w:r>
      <w:r>
        <w:rPr>
          <w:rFonts w:hint="eastAsia" w:ascii="Times New Roman" w:hAnsi="Times New Roman" w:eastAsia="楷体_GB2312" w:cs="Times New Roman"/>
          <w:b w:val="0"/>
          <w:bCs/>
          <w:color w:val="auto"/>
          <w:spacing w:val="0"/>
          <w:sz w:val="32"/>
          <w:szCs w:val="32"/>
          <w:lang w:eastAsia="zh-CN"/>
        </w:rPr>
        <w:t>）</w:t>
      </w:r>
      <w:r>
        <w:rPr>
          <w:rFonts w:hint="eastAsia" w:ascii="Times New Roman" w:hAnsi="Times New Roman" w:eastAsia="楷体_GB2312" w:cs="楷体_GB2312"/>
          <w:b w:val="0"/>
          <w:bCs/>
          <w:color w:val="auto"/>
          <w:spacing w:val="0"/>
          <w:sz w:val="32"/>
          <w:szCs w:val="32"/>
          <w:lang w:eastAsia="zh-CN"/>
        </w:rPr>
        <w:t>关于巡察反馈“聚焦基层党组织和党员队伍建设情况加强监督，促进提升基层党组织政治功能和组织力方面”的问题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rPr>
        <w:t>1</w:t>
      </w:r>
      <w:r>
        <w:rPr>
          <w:rFonts w:hint="eastAsia" w:ascii="Times New Roman" w:hAnsi="Times New Roman" w:eastAsia="仿宋_GB2312" w:cs="仿宋_GB2312"/>
          <w:b/>
          <w:bCs w:val="0"/>
          <w:color w:val="auto"/>
          <w:spacing w:val="0"/>
          <w:sz w:val="32"/>
          <w:szCs w:val="32"/>
          <w:lang w:val="en-US" w:eastAsia="zh-CN"/>
        </w:rPr>
        <w:t>.关于巡察反馈“‘三重一大’议事决策不规范”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组织会议记录人员参加专题培训，明确会议记录需详细记录参会人员发言要点，特别是不同意见，杜绝敷衍表述。明确会议结束后参会人员需当场审核会议记录并签字确认，确保记录完整、签字齐全。安排居务监督委员会对“三重一大”会议进行现场监督，督促班子成员充分发表意见。建立“三重一大”决策档案，统一归档相关资料，确保决策过程可追溯。</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2.关于巡察反馈“组织生活会不严肃、不规范”</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民主生活会前组织党员学习问题剖析方法，领导干部带头撰写深刻发言材料，严格查摆问题。规范谈心谈话要求，明确“谈思想、谈认识”核心内容，杜绝以收集工作意见、学习党建知识替代。严格审核查摆问题清单，对不符合要求的退回重写，确保问题查摆深入具体。</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3.关于巡察反馈“对下属党支部管理不到位”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约谈佳好物业党支部书记，明确其第一责任人职责，要求严格落实“三会一课”、组织生活会、主题党日等制度。社区党总支安排专人联系指导该支部，帮助制定年度党建工作计划，指导开展谈心谈话、党课讲授和主题党日活动。建立下属党支部月度督导机制，每季度开展1次党建督导，确保党建工作规范推进。</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4.关于巡察反馈“未按要求开展主题党日活动”</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明确“5”项规定动作具体流程，结合社区实际梳理志愿服务、困难群众帮扶、政策宣传等“X”自选动作案例库。社区党总支每月提前下发主题党日活动指引，指导各支部结合实际设计“学习+实践”类活动。建立活动效果反馈机制，通过党员评议、居民意见收集等方式持续优化活动内容，提升活动吸引力和实效性。</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5.关于巡察反馈“三会一课’制度落实不到位”</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制定年度党课计划，明确“两委”班子成员、下属支部书记每人每季度至少讲授1次党课。明确党课核心内容围绕党的创新理论、政策解读、党性教育等，杜绝以普通学习替代党课。邀请专业老师指导党课备课，建立党课效果评估机制，通过党员现场测评、课后交流等方式优化党课内容和形式，提升党课质量。</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Times New Roman" w:hAnsi="Times New Roman" w:eastAsia="仿宋_GB2312" w:cs="仿宋_GB2312"/>
          <w:b w:val="0"/>
          <w:bCs/>
          <w:color w:val="auto"/>
          <w:spacing w:val="0"/>
          <w:sz w:val="32"/>
          <w:szCs w:val="32"/>
        </w:rPr>
      </w:pPr>
      <w:r>
        <w:rPr>
          <w:rFonts w:hint="eastAsia" w:ascii="Times New Roman" w:hAnsi="Times New Roman" w:eastAsia="仿宋_GB2312" w:cs="仿宋_GB2312"/>
          <w:b/>
          <w:bCs w:val="0"/>
          <w:color w:val="auto"/>
          <w:spacing w:val="0"/>
          <w:sz w:val="32"/>
          <w:szCs w:val="32"/>
          <w:lang w:val="en-US" w:eastAsia="zh-CN"/>
        </w:rPr>
        <w:t>6.关于巡察反馈“考核机制不健全，未实行差别化”</w:t>
      </w:r>
      <w:r>
        <w:rPr>
          <w:rFonts w:hint="eastAsia" w:ascii="Times New Roman" w:hAnsi="Times New Roman" w:eastAsia="仿宋_GB2312" w:cs="仿宋_GB2312"/>
          <w:b/>
          <w:bCs w:val="0"/>
          <w:color w:val="auto"/>
          <w:spacing w:val="0"/>
          <w:sz w:val="32"/>
          <w:szCs w:val="32"/>
          <w:lang w:eastAsia="zh-CN"/>
        </w:rPr>
        <w:t>问题的整改情况</w:t>
      </w:r>
      <w:r>
        <w:rPr>
          <w:rFonts w:hint="eastAsia" w:ascii="Times New Roman" w:hAnsi="Times New Roman" w:eastAsia="仿宋_GB2312" w:cs="仿宋_GB2312"/>
          <w:b w:val="0"/>
          <w:bCs/>
          <w:color w:val="auto"/>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_GB2312"/>
          <w:b w:val="0"/>
          <w:bCs/>
          <w:color w:val="auto"/>
          <w:spacing w:val="0"/>
          <w:sz w:val="32"/>
          <w:szCs w:val="32"/>
          <w:lang w:eastAsia="zh-CN"/>
        </w:rPr>
      </w:pPr>
      <w:r>
        <w:rPr>
          <w:rFonts w:hint="eastAsia" w:ascii="Times New Roman" w:hAnsi="Times New Roman" w:eastAsia="仿宋_GB2312" w:cs="仿宋_GB2312"/>
          <w:b w:val="0"/>
          <w:bCs/>
          <w:color w:val="auto"/>
          <w:spacing w:val="0"/>
          <w:sz w:val="32"/>
          <w:szCs w:val="32"/>
          <w:lang w:eastAsia="zh-CN"/>
        </w:rPr>
        <w:t>制定《龙泉社区绩效考核方案》，明确考核内容涵盖工作成效、履职能力、群众评价、廉洁自律、创新贡献等5项指标，设置量化评分标准。建立多元评价机制，邀请居民代表、物业人员、党员代表等参与绩效考核测评。2025年起严格按照考核得分发放绩效奖金，实现“优绩优酬”，并将考核结果与评优评先、职务晋升挂钩，激发工作人员干事创业积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i w:val="0"/>
          <w:caps w:val="0"/>
          <w:color w:val="auto"/>
          <w:spacing w:val="0"/>
          <w:sz w:val="32"/>
          <w:szCs w:val="32"/>
          <w:shd w:val="clear" w:fill="FFFFFF"/>
          <w:lang w:val="en-US" w:eastAsia="zh-CN"/>
        </w:rPr>
      </w:pPr>
      <w:r>
        <w:rPr>
          <w:rFonts w:hint="default" w:ascii="Times New Roman" w:hAnsi="Times New Roman" w:eastAsia="黑体" w:cs="黑体"/>
          <w:b w:val="0"/>
          <w:i w:val="0"/>
          <w:caps w:val="0"/>
          <w:color w:val="auto"/>
          <w:spacing w:val="0"/>
          <w:sz w:val="32"/>
          <w:szCs w:val="32"/>
          <w:shd w:val="clear" w:fill="FFFFFF"/>
          <w:lang w:val="en-US" w:eastAsia="zh-CN"/>
        </w:rPr>
        <w:t>三</w:t>
      </w:r>
      <w:r>
        <w:rPr>
          <w:rFonts w:hint="default" w:ascii="Times New Roman" w:hAnsi="Times New Roman" w:eastAsia="黑体" w:cs="黑体"/>
          <w:b w:val="0"/>
          <w:i w:val="0"/>
          <w:caps w:val="0"/>
          <w:color w:val="auto"/>
          <w:spacing w:val="0"/>
          <w:sz w:val="32"/>
          <w:szCs w:val="32"/>
          <w:shd w:val="clear" w:fill="FFFFFF"/>
        </w:rPr>
        <w:t>、</w:t>
      </w:r>
      <w:r>
        <w:rPr>
          <w:rFonts w:hint="eastAsia" w:ascii="Times New Roman" w:hAnsi="Times New Roman" w:eastAsia="黑体" w:cs="黑体"/>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i w:val="0"/>
          <w:caps w:val="0"/>
          <w:color w:val="auto"/>
          <w:spacing w:val="0"/>
          <w:sz w:val="32"/>
          <w:szCs w:val="32"/>
          <w:lang w:val="en-US" w:eastAsia="zh-CN"/>
        </w:rPr>
      </w:pPr>
      <w:r>
        <w:rPr>
          <w:rFonts w:hint="default" w:ascii="Times New Roman" w:hAnsi="Times New Roman" w:eastAsia="楷体_GB2312" w:cs="楷体_GB2312"/>
          <w:b w:val="0"/>
          <w:i w:val="0"/>
          <w:caps w:val="0"/>
          <w:color w:val="auto"/>
          <w:spacing w:val="0"/>
          <w:sz w:val="32"/>
          <w:szCs w:val="32"/>
        </w:rPr>
        <w:t>（一）继续抓好</w:t>
      </w:r>
      <w:r>
        <w:rPr>
          <w:rFonts w:hint="default" w:ascii="Times New Roman" w:hAnsi="Times New Roman" w:eastAsia="楷体_GB2312" w:cs="楷体_GB2312"/>
          <w:b w:val="0"/>
          <w:i w:val="0"/>
          <w:caps w:val="0"/>
          <w:color w:val="auto"/>
          <w:spacing w:val="0"/>
          <w:sz w:val="32"/>
          <w:szCs w:val="32"/>
          <w:lang w:eastAsia="zh-CN"/>
        </w:rPr>
        <w:t>巡察</w:t>
      </w:r>
      <w:r>
        <w:rPr>
          <w:rFonts w:hint="default" w:ascii="Times New Roman" w:hAnsi="Times New Roman" w:eastAsia="楷体_GB2312" w:cs="楷体_GB2312"/>
          <w:b w:val="0"/>
          <w:i w:val="0"/>
          <w:caps w:val="0"/>
          <w:color w:val="auto"/>
          <w:spacing w:val="0"/>
          <w:sz w:val="32"/>
          <w:szCs w:val="32"/>
        </w:rPr>
        <w:t>整改后续工作</w:t>
      </w:r>
      <w:r>
        <w:rPr>
          <w:rFonts w:hint="eastAsia" w:ascii="Times New Roman" w:hAnsi="Times New Roman" w:eastAsia="楷体_GB2312" w:cs="楷体_GB2312"/>
          <w:b w:val="0"/>
          <w:i w:val="0"/>
          <w:caps w:val="0"/>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坚持问题导向，对已完成整改的19个问题定期开展“回头看”，建立问题反弹预警机制，每季度排查整改成效巩固情况，及时处置苗头性、倾向性问题。针对整改评估指出的材料归档不规范、底数不清等问题，集中梳理巡察整改全流程资料，建立分类归档台账，确保整改痕迹可追溯、可核查。畅通群众监督渠道，通过居民微信群、公告栏等定期公示整改后续进展，主动接受群众评议，确保整改工作不留尾巴、不走过场</w:t>
      </w:r>
      <w:r>
        <w:rPr>
          <w:rFonts w:hint="eastAsia" w:ascii="Times New Roman" w:hAnsi="Times New Roman" w:eastAsia="仿宋_GB2312" w:cs="Times New Roman"/>
          <w:color w:val="auto"/>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楷体_GB2312"/>
          <w:b w:val="0"/>
          <w:i w:val="0"/>
          <w:caps w:val="0"/>
          <w:color w:val="auto"/>
          <w:spacing w:val="0"/>
          <w:sz w:val="32"/>
          <w:szCs w:val="32"/>
        </w:rPr>
        <w:t>深入落实</w:t>
      </w:r>
      <w:r>
        <w:rPr>
          <w:rFonts w:hint="default" w:ascii="Times New Roman" w:hAnsi="Times New Roman" w:eastAsia="楷体_GB2312" w:cs="楷体_GB2312"/>
          <w:b w:val="0"/>
          <w:i w:val="0"/>
          <w:caps w:val="0"/>
          <w:color w:val="auto"/>
          <w:spacing w:val="0"/>
          <w:sz w:val="32"/>
          <w:szCs w:val="32"/>
          <w:lang w:eastAsia="zh-CN"/>
        </w:rPr>
        <w:t>管党治党</w:t>
      </w:r>
      <w:r>
        <w:rPr>
          <w:rFonts w:hint="default" w:ascii="Times New Roman" w:hAnsi="Times New Roman" w:eastAsia="楷体_GB2312" w:cs="楷体_GB2312"/>
          <w:b w:val="0"/>
          <w:i w:val="0"/>
          <w:caps w:val="0"/>
          <w:color w:val="auto"/>
          <w:spacing w:val="0"/>
          <w:sz w:val="32"/>
          <w:szCs w:val="32"/>
        </w:rPr>
        <w:t>主体责任</w:t>
      </w:r>
      <w:r>
        <w:rPr>
          <w:rFonts w:hint="eastAsia" w:ascii="Times New Roman" w:hAnsi="Times New Roman" w:eastAsia="楷体_GB2312" w:cs="楷体_GB2312"/>
          <w:b w:val="0"/>
          <w:i w:val="0"/>
          <w:caps w:val="0"/>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强化社区党总支政治引领作用，将学习贯彻县委书记专题会议关于巡察整改的工作要求纳入党总支“第一议题”，深化党员干部对巡察整改政治意义的认识。严格落实“一把手”第一责任人职责和班子成员“一岗双责”，每半年专题研究1次全面从严治党工作，把党风廉政建设与社区治理、民生服务同部署同推进。常态化运用监督执纪第一种形态，聚焦财务报销、项目采购等重点领域，抓早抓小、防微杜渐，持续筑牢廉洁防线。</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楷体_GB2312"/>
          <w:b w:val="0"/>
          <w:i w:val="0"/>
          <w:caps w:val="0"/>
          <w:color w:val="auto"/>
          <w:spacing w:val="0"/>
          <w:sz w:val="32"/>
          <w:szCs w:val="32"/>
          <w:lang w:eastAsia="zh-CN"/>
        </w:rPr>
        <w:t>健全制度完善机制严格执行</w:t>
      </w:r>
      <w:r>
        <w:rPr>
          <w:rFonts w:hint="eastAsia" w:ascii="Times New Roman" w:hAnsi="Times New Roman" w:eastAsia="楷体_GB2312" w:cs="楷体_GB2312"/>
          <w:b w:val="0"/>
          <w:i w:val="0"/>
          <w:caps w:val="0"/>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对整改中新建的8项制度开展“回头看”评估，结合社区工作实际动态修订优化，重点完善意识形态工作考核、财务报销多级审核、项目采购全程监督等机制。建立制度执行“月检查、季通报”机制，由居务监督委员会牵头，定期核查制度落实情况，对执行不到位的责任人及时约谈提醒，强化制度刚性约束。加强制度宣传培训，通过专题讲座、案例分析等方式，提升党员干部按制度办事、用规矩管人意识，推动制度落地生根。</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eastAsia" w:ascii="Times New Roman" w:hAnsi="Times New Roman" w:eastAsia="楷体_GB2312" w:cs="楷体_GB2312"/>
          <w:b w:val="0"/>
          <w:i w:val="0"/>
          <w:caps w:val="0"/>
          <w:color w:val="auto"/>
          <w:spacing w:val="0"/>
          <w:sz w:val="32"/>
          <w:szCs w:val="32"/>
        </w:rPr>
        <w:t>着力推动</w:t>
      </w:r>
      <w:r>
        <w:rPr>
          <w:rFonts w:hint="eastAsia" w:ascii="Times New Roman" w:hAnsi="Times New Roman" w:eastAsia="楷体_GB2312" w:cs="楷体_GB2312"/>
          <w:b w:val="0"/>
          <w:i w:val="0"/>
          <w:caps w:val="0"/>
          <w:color w:val="auto"/>
          <w:spacing w:val="0"/>
          <w:sz w:val="32"/>
          <w:szCs w:val="32"/>
          <w:lang w:eastAsia="zh-CN"/>
        </w:rPr>
        <w:t>各项工作</w:t>
      </w:r>
      <w:r>
        <w:rPr>
          <w:rFonts w:hint="eastAsia" w:ascii="Times New Roman" w:hAnsi="Times New Roman" w:eastAsia="楷体_GB2312" w:cs="楷体_GB2312"/>
          <w:b w:val="0"/>
          <w:i w:val="0"/>
          <w:caps w:val="0"/>
          <w:color w:val="auto"/>
          <w:spacing w:val="0"/>
          <w:sz w:val="32"/>
          <w:szCs w:val="32"/>
        </w:rPr>
        <w:t>全面</w:t>
      </w:r>
      <w:r>
        <w:rPr>
          <w:rFonts w:hint="eastAsia" w:ascii="Times New Roman" w:hAnsi="Times New Roman" w:eastAsia="楷体_GB2312" w:cs="楷体_GB2312"/>
          <w:b w:val="0"/>
          <w:i w:val="0"/>
          <w:caps w:val="0"/>
          <w:color w:val="auto"/>
          <w:spacing w:val="0"/>
          <w:sz w:val="32"/>
          <w:szCs w:val="32"/>
          <w:lang w:eastAsia="zh-CN"/>
        </w:rPr>
        <w:t>发展。</w:t>
      </w:r>
      <w:r>
        <w:rPr>
          <w:rFonts w:hint="default" w:ascii="Times New Roman" w:hAnsi="Times New Roman" w:eastAsia="仿宋_GB2312" w:cs="Times New Roman"/>
          <w:color w:val="auto"/>
          <w:sz w:val="32"/>
          <w:szCs w:val="32"/>
          <w:lang w:val="en-US" w:eastAsia="zh-CN"/>
        </w:rPr>
        <w:t>加快新嘉园小区党群服务中心建设进度，倒排工期、挂图作战，确保2025年底前完成建设并投入使用，拓展为民服务覆盖面。持续深化爱国卫生“七个专项行动”，每月开展1次环境整治专项行动，健全卫生网格长效管护机制，不断提升居民生活品质。优化医保缴费服务模式，完善“宣传+服务+督导”工作体系，力争2025年参保率达到全县平均水平。加强下属党支部规范化建设，每半年开展1次党建督导，规范“三会一课”、主题党日等党内政治生活，以高质量党建引领社区治理效能提升，切实增强居民的获得感、幸福感和安全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w:t>
      </w:r>
      <w:r>
        <w:rPr>
          <w:rFonts w:hint="eastAsia" w:ascii="Times New Roman" w:hAnsi="Times New Roman" w:eastAsia="仿宋_GB2312" w:cs="Times New Roman"/>
          <w:b w:val="0"/>
          <w:i w:val="0"/>
          <w:caps w:val="0"/>
          <w:color w:val="auto"/>
          <w:spacing w:val="0"/>
          <w:kern w:val="0"/>
          <w:sz w:val="32"/>
          <w:szCs w:val="32"/>
          <w:lang w:val="en-US" w:eastAsia="zh-CN" w:bidi="ar"/>
        </w:rPr>
        <w:t>0871-67929008</w:t>
      </w:r>
      <w:r>
        <w:rPr>
          <w:rFonts w:hint="default" w:ascii="Times New Roman" w:hAnsi="Times New Roman" w:eastAsia="仿宋_GB2312" w:cs="Times New Roman"/>
          <w:b w:val="0"/>
          <w:i w:val="0"/>
          <w:caps w:val="0"/>
          <w:color w:val="auto"/>
          <w:spacing w:val="0"/>
          <w:kern w:val="0"/>
          <w:sz w:val="32"/>
          <w:szCs w:val="32"/>
          <w:lang w:val="en-US" w:eastAsia="zh-CN" w:bidi="ar"/>
        </w:rPr>
        <w:t>；通信地址：</w:t>
      </w:r>
      <w:r>
        <w:rPr>
          <w:rFonts w:hint="eastAsia" w:ascii="Times New Roman" w:hAnsi="Times New Roman" w:eastAsia="仿宋_GB2312" w:cs="Times New Roman"/>
          <w:b w:val="0"/>
          <w:i w:val="0"/>
          <w:caps w:val="0"/>
          <w:color w:val="auto"/>
          <w:spacing w:val="0"/>
          <w:kern w:val="0"/>
          <w:sz w:val="32"/>
          <w:szCs w:val="32"/>
          <w:lang w:val="en-US" w:eastAsia="zh-CN" w:bidi="ar"/>
        </w:rPr>
        <w:t>云南省昆明市嵩明县嵩阳街道龙井路嵩兰馨苑17幢龙泉社区党群服务中心</w:t>
      </w:r>
      <w:r>
        <w:rPr>
          <w:rFonts w:hint="default" w:ascii="Times New Roman" w:hAnsi="Times New Roman" w:eastAsia="仿宋_GB2312" w:cs="Times New Roman"/>
          <w:b w:val="0"/>
          <w:i w:val="0"/>
          <w:caps w:val="0"/>
          <w:color w:val="auto"/>
          <w:spacing w:val="0"/>
          <w:kern w:val="0"/>
          <w:sz w:val="32"/>
          <w:szCs w:val="32"/>
          <w:lang w:val="en-US" w:eastAsia="zh-CN" w:bidi="ar"/>
        </w:rPr>
        <w:t>；邮政编码：</w:t>
      </w:r>
      <w:r>
        <w:rPr>
          <w:rFonts w:hint="eastAsia" w:ascii="Times New Roman" w:hAnsi="Times New Roman" w:eastAsia="仿宋_GB2312" w:cs="Times New Roman"/>
          <w:b w:val="0"/>
          <w:i w:val="0"/>
          <w:caps w:val="0"/>
          <w:color w:val="auto"/>
          <w:spacing w:val="0"/>
          <w:kern w:val="0"/>
          <w:sz w:val="32"/>
          <w:szCs w:val="32"/>
          <w:lang w:val="en-US" w:eastAsia="zh-CN" w:bidi="ar"/>
        </w:rPr>
        <w:t>651700</w:t>
      </w:r>
      <w:r>
        <w:rPr>
          <w:rFonts w:hint="default" w:ascii="Times New Roman" w:hAnsi="Times New Roman" w:eastAsia="仿宋_GB2312" w:cs="Times New Roman"/>
          <w:b w:val="0"/>
          <w:i w:val="0"/>
          <w:caps w:val="0"/>
          <w:color w:val="auto"/>
          <w:spacing w:val="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eastAsia" w:ascii="Times New Roman" w:hAnsi="Times New Roman" w:eastAsia="仿宋_GB2312" w:cs="Times New Roman"/>
          <w:b w:val="0"/>
          <w:i w:val="0"/>
          <w:caps w:val="0"/>
          <w:color w:val="auto"/>
          <w:spacing w:val="0"/>
          <w:kern w:val="0"/>
          <w:sz w:val="32"/>
          <w:szCs w:val="32"/>
          <w:lang w:val="en-US" w:eastAsia="zh-CN" w:bidi="ar"/>
        </w:rPr>
        <w:t>龙泉社区党总支</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eastAsia" w:ascii="Times New Roman" w:hAnsi="Times New Roman" w:eastAsia="仿宋_GB2312" w:cs="Times New Roman"/>
          <w:b w:val="0"/>
          <w:i w:val="0"/>
          <w:caps w:val="0"/>
          <w:color w:val="auto"/>
          <w:spacing w:val="0"/>
          <w:kern w:val="0"/>
          <w:sz w:val="32"/>
          <w:szCs w:val="32"/>
          <w:lang w:val="en-US" w:eastAsia="zh-CN" w:bidi="ar"/>
        </w:rPr>
        <w:t>2025</w:t>
      </w:r>
      <w:r>
        <w:rPr>
          <w:rFonts w:hint="default" w:ascii="Times New Roman" w:hAnsi="Times New Roman" w:eastAsia="仿宋_GB2312" w:cs="Times New Roman"/>
          <w:b w:val="0"/>
          <w:i w:val="0"/>
          <w:caps w:val="0"/>
          <w:color w:val="auto"/>
          <w:spacing w:val="0"/>
          <w:kern w:val="0"/>
          <w:sz w:val="32"/>
          <w:szCs w:val="32"/>
          <w:lang w:val="en-US" w:eastAsia="zh-CN" w:bidi="ar"/>
        </w:rPr>
        <w:t>年</w:t>
      </w:r>
      <w:r>
        <w:rPr>
          <w:rFonts w:hint="eastAsia" w:ascii="Times New Roman" w:hAnsi="Times New Roman" w:eastAsia="仿宋_GB2312" w:cs="Times New Roman"/>
          <w:b w:val="0"/>
          <w:i w:val="0"/>
          <w:caps w:val="0"/>
          <w:color w:val="auto"/>
          <w:spacing w:val="0"/>
          <w:kern w:val="0"/>
          <w:sz w:val="32"/>
          <w:szCs w:val="32"/>
          <w:lang w:val="en-US" w:eastAsia="zh-CN" w:bidi="ar"/>
        </w:rPr>
        <w:t>1</w:t>
      </w:r>
      <w:r>
        <w:rPr>
          <w:rFonts w:hint="default" w:ascii="Times New Roman" w:hAnsi="Times New Roman" w:eastAsia="仿宋_GB2312" w:cs="Times New Roman"/>
          <w:b w:val="0"/>
          <w:i w:val="0"/>
          <w:caps w:val="0"/>
          <w:color w:val="auto"/>
          <w:spacing w:val="0"/>
          <w:kern w:val="0"/>
          <w:sz w:val="32"/>
          <w:szCs w:val="32"/>
          <w:lang w:val="en-US" w:eastAsia="zh-CN" w:bidi="ar"/>
        </w:rPr>
        <w:t>月</w:t>
      </w:r>
      <w:r>
        <w:rPr>
          <w:rFonts w:hint="eastAsia" w:ascii="Times New Roman" w:hAnsi="Times New Roman" w:eastAsia="仿宋_GB2312" w:cs="Times New Roman"/>
          <w:b w:val="0"/>
          <w:i w:val="0"/>
          <w:caps w:val="0"/>
          <w:color w:val="auto"/>
          <w:spacing w:val="0"/>
          <w:kern w:val="0"/>
          <w:sz w:val="32"/>
          <w:szCs w:val="32"/>
          <w:lang w:val="en-US" w:eastAsia="zh-CN" w:bidi="ar"/>
        </w:rPr>
        <w:t>5</w:t>
      </w:r>
      <w:r>
        <w:rPr>
          <w:rFonts w:hint="default" w:ascii="Times New Roman" w:hAnsi="Times New Roman" w:eastAsia="仿宋_GB2312" w:cs="Times New Roman"/>
          <w:b w:val="0"/>
          <w:i w:val="0"/>
          <w:caps w:val="0"/>
          <w:color w:val="auto"/>
          <w:spacing w:val="0"/>
          <w:kern w:val="0"/>
          <w:sz w:val="32"/>
          <w:szCs w:val="32"/>
          <w:lang w:val="en-US" w:eastAsia="zh-CN" w:bidi="ar"/>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b w:val="0"/>
          <w:i w:val="0"/>
          <w:caps w:val="0"/>
          <w:color w:val="auto"/>
          <w:spacing w:val="0"/>
          <w:sz w:val="32"/>
          <w:szCs w:val="32"/>
          <w:shd w:val="clear" w:fill="FFFFFF"/>
          <w:lang w:val="en-US" w:eastAsia="zh-CN"/>
        </w:rPr>
      </w:pP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3D1CA"/>
    <w:multiLevelType w:val="singleLevel"/>
    <w:tmpl w:val="9103D1CA"/>
    <w:lvl w:ilvl="0" w:tentative="0">
      <w:start w:val="2"/>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8B50CB"/>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19458A"/>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A4F4D"/>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8F2D7D"/>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8F07B8"/>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14</Pages>
  <Words>6921</Words>
  <Characters>7147</Characters>
  <Lines>0</Lines>
  <Paragraphs>0</Paragraphs>
  <TotalTime>18</TotalTime>
  <ScaleCrop>false</ScaleCrop>
  <LinksUpToDate>false</LinksUpToDate>
  <CharactersWithSpaces>7147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B670E9E7892E4AE2BEF9084185137B09_13</vt:lpwstr>
  </property>
  <property fmtid="{D5CDD505-2E9C-101B-9397-08002B2CF9AE}" pid="4" name="KSOTemplateDocerSaveRecord">
    <vt:lpwstr>eyJoZGlkIjoiMTc1NWZlODhiN2ZlZDMyMzQwZGI5ZjkyN2VhODIyYTciLCJ1c2VySWQiOiIxMjA1NDk2NTAwIn0=</vt:lpwstr>
  </property>
</Properties>
</file>