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Cs/>
          <w:snapToGrid w:val="0"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iCs/>
          <w:snapToGrid w:val="0"/>
          <w:spacing w:val="-6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iCs/>
          <w:snapToGrid w:val="0"/>
          <w:spacing w:val="-6"/>
          <w:sz w:val="44"/>
          <w:szCs w:val="44"/>
          <w:lang w:eastAsia="zh-CN"/>
        </w:rPr>
        <w:t>购买</w:t>
      </w:r>
      <w:r>
        <w:rPr>
          <w:rFonts w:hint="default" w:ascii="Times New Roman" w:hAnsi="Times New Roman" w:eastAsia="方正小标宋_GBK" w:cs="Times New Roman"/>
          <w:iCs/>
          <w:snapToGrid w:val="0"/>
          <w:spacing w:val="-6"/>
          <w:sz w:val="44"/>
          <w:szCs w:val="44"/>
        </w:rPr>
        <w:t>“巡视巡察数据分析系统”</w:t>
      </w:r>
      <w:r>
        <w:rPr>
          <w:rFonts w:hint="default" w:ascii="Times New Roman" w:hAnsi="Times New Roman" w:eastAsia="方正小标宋_GBK" w:cs="Times New Roman"/>
          <w:iCs/>
          <w:snapToGrid w:val="0"/>
          <w:spacing w:val="-6"/>
          <w:sz w:val="44"/>
          <w:szCs w:val="44"/>
          <w:lang w:eastAsia="zh-CN"/>
        </w:rPr>
        <w:t>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iCs/>
          <w:snapToGrid w:val="0"/>
          <w:spacing w:val="0"/>
          <w:sz w:val="44"/>
          <w:szCs w:val="44"/>
        </w:rPr>
        <w:t>第三方</w:t>
      </w:r>
      <w:r>
        <w:rPr>
          <w:rFonts w:hint="eastAsia" w:ascii="Times New Roman" w:hAnsi="Times New Roman" w:eastAsia="方正小标宋_GBK" w:cs="Times New Roman"/>
          <w:iCs/>
          <w:snapToGrid w:val="0"/>
          <w:spacing w:val="0"/>
          <w:sz w:val="44"/>
          <w:szCs w:val="44"/>
          <w:lang w:eastAsia="zh-CN"/>
        </w:rPr>
        <w:t>监理</w:t>
      </w:r>
      <w:r>
        <w:rPr>
          <w:rFonts w:hint="default" w:ascii="Times New Roman" w:hAnsi="Times New Roman" w:eastAsia="方正小标宋_GBK" w:cs="Times New Roman"/>
          <w:iCs/>
          <w:snapToGrid w:val="0"/>
          <w:spacing w:val="0"/>
          <w:sz w:val="44"/>
          <w:szCs w:val="44"/>
        </w:rPr>
        <w:t>服务的</w:t>
      </w:r>
      <w:r>
        <w:rPr>
          <w:rFonts w:hint="eastAsia" w:ascii="Times New Roman" w:hAnsi="Times New Roman" w:eastAsia="方正小标宋_GBK" w:cs="Times New Roman"/>
          <w:iCs/>
          <w:snapToGrid w:val="0"/>
          <w:spacing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巡视巡察数据分析系统建设工作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为做好系统的监理工作。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根据昆明市财政局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印发的《昆明市市本级2018年政府购买服务指导性目录》（昆财非税〔2018〕170号）文件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E1701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政府信息系统建设、管理与维护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”的要求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市纪委市监委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拟采用政府购买服务的方式，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“巡视巡察数据分析系统”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（一期）建设开展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监理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14000元，拟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2020年预算的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其他纪检监察事务支出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——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巡察工作联络专项经费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中列支。支付内容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按照签订购买服务协议内容支付。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可否，请即复函。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附件：关于购买“巡视巡察数据分析系统”（一期）第三方监理服务的计划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640" w:firstLineChars="14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中共昆明市纪委办公室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58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A70C9"/>
    <w:rsid w:val="11106BC9"/>
    <w:rsid w:val="1D807166"/>
    <w:rsid w:val="2F1A70C9"/>
    <w:rsid w:val="31613B45"/>
    <w:rsid w:val="35C25FFF"/>
    <w:rsid w:val="36AD079B"/>
    <w:rsid w:val="39172607"/>
    <w:rsid w:val="3CD625F3"/>
    <w:rsid w:val="3D1130F8"/>
    <w:rsid w:val="4C0C2E37"/>
    <w:rsid w:val="69CA2BF2"/>
    <w:rsid w:val="708F4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Calibri" w:hAnsi="Calibri" w:eastAsia="方正小标宋_GBK" w:cs="Times New Roman"/>
      <w:kern w:val="44"/>
      <w:sz w:val="44"/>
      <w:szCs w:val="24"/>
    </w:rPr>
  </w:style>
  <w:style w:type="paragraph" w:styleId="3">
    <w:name w:val="heading 2"/>
    <w:basedOn w:val="1"/>
    <w:next w:val="1"/>
    <w:unhideWhenUsed/>
    <w:qFormat/>
    <w:uiPriority w:val="0"/>
    <w:pPr>
      <w:spacing w:before="-2147483648" w:beforeAutospacing="1" w:after="100" w:afterAutospacing="1" w:line="600" w:lineRule="exact"/>
      <w:jc w:val="center"/>
      <w:outlineLvl w:val="1"/>
    </w:pPr>
    <w:rPr>
      <w:rFonts w:hint="eastAsia" w:ascii="宋体" w:hAnsi="宋体" w:eastAsia="黑体" w:cs="宋体"/>
      <w:kern w:val="0"/>
      <w:sz w:val="36"/>
      <w:szCs w:val="36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jc w:val="center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2020-05-08T03:19:00Z</dcterms:created>
  <dc:creator>Administrator</dc:creator>
  <cp:lastModifiedBy>Administrator</cp:lastModifiedBy>
  <dcterms:modified xsi:type="dcterms:W3CDTF">2020-05-08T03:57:43Z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